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>
      <w:r>
        <w:rPr>
          <w:b/>
          <w:bCs/>
        </w:rPr>
        <w:t xml:space="preserve">Recurso: </w:t>
      </w:r>
      <w:r>
        <w:t xml:space="preserve">re 50</w:t>
      </w:r>
    </w:p>
    <w:p/>
    <w:p>
      <w:r>
        <w:t xml:space="preserve">LEI 4.771 DE 15-09-1965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7.511, DE 07 DE JULHO DE 1986 Altera dispositivos da Lei nº 4.771, de 15 de setembro de 1965, que institui o novo Código Florestal. O PRESIDENTE DA REPÚBLICA, faço saber que o Congresso Nacional decreta e eu sanciono a seguinte lei: Art. 1º Os números da alínea a do artigo 2º da Lei nº 4.771, de 15 de setembro de 1965, que institui o novo Código Florestal, passam a vigorar com as seguintes alterações e acréscimos: "Art. 2º................................................................ a) .................................................................. 1. de 30 (trinta) metros para os rios de menos de 10 (dez) metros de largura; 2. de 50 (cinqüenta) metros para os cursos d'água que tenham de 10 (dez) a 50 (cinqüenta) metros de largura; 3. de 100 (cem) metros para os cursos d'água que meçam entre 50 (cinqüenta) e 100 (cem) metros de largura; 4. de 150 (cento e cinqüenta) metros para os cursos d'água que possuam entre 100 (cem) e 200 (duzentos) metros de largura; igual à distância entre as margens para os cursos d'água com largura superior a 200 (duzentos) metros; ........................................................................" Art. 2º O artigo 19 da Lei nº 4.771, de 15 de setembro de 1965, passa a vigorar com a seguinte redação: "Art. 19. Visando a rendimentos permanentes e à preservação de espécies nativas, os proprietários de florestas explorarão a madeira somente através de manejo sustentado, efetuando a reposição florestal, sucessivamente, com espécies típicas da região. § 1º É permitida ao proprietário a reposição com espécies exóticas nas florestas já implantadas com estas espécies. § 2º Na reposição com espécies regionais, o proprietário fica obrigado a comprovar o plantio das árvores, assim como os tratos culturais necessários a sua sobrevivência e desenvolvimento." Art. 3º Esta lei entra em vigor na data de sua publicação. Art. 4º Revogam-se as disposições em c ontrário. Brasília, 7 de julho de 1986; 165º da Independência e 98º da República. JOSÉ SARNEY Íris Rezende Machado VER: LEI - 7.803 - DO 20-07-1989 - PÁG. 12.025 -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2026-06-17T14:20:41.189Z</dcterms:created>
  <dcterms:modified xsi:type="dcterms:W3CDTF">2026-06-17T14:20:41.189Z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