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ALIMENTOS PROVISIONAIS</w:t>
      </w:r>
    </w:p>
    <w:p>
      <w:r>
        <w:rPr>
          <w:i/>
          <w:iCs/>
          <w:color w:val="666666"/>
        </w:rPr>
        <w:t xml:space="preserve">INVESTIGAÇÃO DE PATERNIDADE</w:t>
      </w:r>
    </w:p>
    <w:p/>
    <w:p/>
    <w:p>
      <w:r>
        <w:t xml:space="preserve">GRATIFICAÇÃO DE CONDIÇÃO ESPECIAL DE TRABALHO — GCET - CRIA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1.112, DE 31 DE AGOSTO DE 1995. Cria a Gratificação de Condição Especial de Trabalho - GCET para os servidores militares federais das Forças Armadas, e dá outras providências. O PRESIDENTE DA REPÚBLICA, no uso da atribuição que lhe confere o art. 62 da Constituição, adota a seguinte Medida Provisória, com força de lei: Art. 1º Fica instituída a Gratificação de Condição Especial de Trabalho - GCET, devida mensal e regularmente aos servidores militares federais das Forças Armadas ocupantes de cargo militar. Parágrafo único. Excetuam-se do disposto neste artigo as praças prestadoras do serviço militar inicial. Art. 2º A Gratificação de Condição Especial de Trabalho - GCET será calculada obedecendo à hierarquização entre os diversos postos e graduações, dentro dos respectivos círculos das Forças Armadas e paga a partir de 1º de agosto de 1995, de acordo com o Anexo I. Art. 3º Simultaneamente, até 31 de dezembro de 1995, será concedida uma Gratificação Temporária aos servidores de que trata o art. 1º, no valor constante do Anexo II. Parágrafo único. A Gratificação Temporária é acumulável com a Gratificação de Condição Especial de Trabalho - GCET e: a) não servirá de base para cálculo de qualquer vantagem ou parcela remuneratória, ressalvadas aquelas de que tratam os arts. 35, 40, 41 e 42 da Lei nº 8.237, de 30 de setembro de 1991; b) será considerada para efeito de pensões e remuneração na inatividade. Art. 4º A Gratificação de Condição Especial de Trabalho - GCET passa a integrar a estrutura remuneratória dos militares da ativa, inativos e pensionistas, prevista na legislação em vigor. Art. 5º Esta Medida Provisória entra em vigor na data de sua publicação, com efeitos financeiros a contar de 1º de agosto de 1995. Brasília, 31 de agosto de 1995; 174º da Independência e 107º da República. FERNANDO HENRIQUE CARDOSO Pedro Ma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2026-10-26T03:05:57.123Z</dcterms:created>
  <dcterms:modified xsi:type="dcterms:W3CDTF">2026-10-26T03:05:57.123Z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