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Relator: </w:t>
      </w:r>
      <w:r>
        <w:t xml:space="preserve">MELLO SERRA</w:t>
      </w:r>
    </w:p>
    <w:p/>
    <w:p>
      <w:r>
        <w:t xml:space="preserve">ACIDENTE DE TRÂNSITO — OPÇÃO DO FORO PELO ACIDENTADO - PREVALÊNCIA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Tem o autor, na ação de reparação de dano decorrente de delito ou de acidente de veículo, a opção de propor esta ação no seu domicílio, ou no lugar do acidente, ou no domicílio do réu. Referência: Uniformização de Jurisprudência nº 32 - Reg. 63 Arquivo do EMFOR, TA/720 NO MESMO SENTIDO: Agr. Instr. nº 27.639, Tr. Alç. Rio de Janeiro - 2ªC., Relator: Juiz MELLO SERRA, ac. de 3-10-85, in EMENTÁRIO FORENSE, nº 456.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2026-06-17T16:40:22.941Z</dcterms:created>
  <dcterms:modified xsi:type="dcterms:W3CDTF">2026-06-17T16:40:22.941Z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