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Relator: </w:t>
      </w:r>
      <w:r>
        <w:t xml:space="preserve">MELLO SERRA</w:t>
      </w:r>
    </w:p>
    <w:p/>
    <w:p>
      <w:r>
        <w:t xml:space="preserve">ACIDENTE DE TRÂNSITO — OPÇÃO DO FORO PELO ACIDENTADO - PREVALÊNCIA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Tem o autor, na ação de reparação de dano decorrente de delito ou de acidente de veículo, a opção de propor esta ação no seu domicílio, ou no lugar do acidente, ou no domicílio do réu. Referência: Uniformização de Jurisprudência nº 32 - Reg. 63 Arquivo do EMFOR, TA/720 NO MESMO SENTIDO: Agr. Instr. nº 27.639, Tr. Alç. Rio de Janeiro - 2ªC., Relator: Juiz MELLO SERRA, ac. de 3-10-85, in EMENTÁRIO FORENSE, nº 456.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2026-10-26T05:58:28.810Z</dcterms:created>
  <dcterms:modified xsi:type="dcterms:W3CDTF">2026-10-26T05:58:28.810Z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