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MERCADO DE VALORES MOBILIÁRIOS</w:t>
      </w:r>
    </w:p>
    <w:p>
      <w:r>
        <w:rPr>
          <w:i/>
          <w:iCs/>
          <w:color w:val="666666"/>
        </w:rPr>
        <w:t xml:space="preserve">MP 2.031-33 DE 27-07-2000</w:t>
      </w:r>
    </w:p>
    <w:p/>
    <w:p>
      <w:r>
        <w:rPr>
          <w:b/>
          <w:bCs/>
        </w:rPr>
        <w:t xml:space="preserve">Relator: </w:t>
      </w:r>
      <w:r>
        <w:t xml:space="preserve">MELLO SERRA</w:t>
      </w:r>
    </w:p>
    <w:p/>
    <w:p>
      <w:r>
        <w:t xml:space="preserve">ACIDENTE DE TRÂNSITO — OPÇÃO DO FORO PELO ACIDENTADO - PREVALÊNCIA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Tem o autor, na ação de reparação de dano decorrente de delito ou de acidente de veículo, a opção de propor esta ação no seu domicílio, ou no lugar do acidente, ou no domicílio do réu. Referência: Uniformização de Jurisprudência nº 32 - Reg. 63 Arquivo do EMFOR, TA/720 NO MESMO SENTIDO: Agr. Instr. nº 27.639, Tr. Alç. Rio de Janeiro - 2ªC., Relator: Juiz MELLO SERRA, ac. de 3-10-85, in EMENTÁRIO FORENSE, nº 456.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2026-09-11T00:11:51.985Z</dcterms:created>
  <dcterms:modified xsi:type="dcterms:W3CDTF">2026-09-11T00:11:51.985Z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