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Julgado em: </w:t>
      </w:r>
      <w:r>
        <w:t xml:space="preserve">08/03/1978</w:t>
      </w:r>
    </w:p>
    <w:p/>
    <w:p>
      <w:r>
        <w:t xml:space="preserve">REGIME ESPECIAL — QUAIS AS ESCOLAS A QUE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locação foi celebrado para instalação da Escola Remington, de propriedade do apelante invocando a Lei nº 6.239, de 1975, para sustentar a carência dos autores, pedindo o imóvel sob fundamento do Decreto-lei nº 4, de 1966. - Entretanto, como bem demonstrou o MM. Juiz, a lei referida não se aplica às escolas de ensino livre, nem sequer fiscalizadas pelo Estado. - É evidente que o legislador ao instituir um regime especial para as locações de prédios utilizados por estabelecimentos de ensino, visou mais aos órgãos oficiais, ou àqueles com currículo organizado conforme a lei, pois somente nesta hipótese apresentam interesse público a ser resguardado. - Em suma, a sentença é mantida pelos seus próprios fundamentos. Julgado em 09-03-1978 Revista dos Tribunais. Junho, 1978 - Vol. 512 - Pág. 200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6.239, de 1975, não se aplica às escolas de ensino livre e nem sequer fiscalizadas pelo 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2026-10-26T02:33:24.913Z</dcterms:created>
  <dcterms:modified xsi:type="dcterms:W3CDTF">2026-10-26T02:33:24.913Z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