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Julgado em: </w:t>
      </w:r>
      <w:r>
        <w:t xml:space="preserve">13/03/1978</w:t>
      </w:r>
    </w:p>
    <w:p/>
    <w:p>
      <w:r>
        <w:t xml:space="preserve">SE PRECLUDE NO SENTIDO DE OBSTAR AO JUIZ POSTERIOR DECISÃO NO SENTIDO DA IMPOSSIBILIDADE JURÍDICA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ilustre Dr. Juiz poderia, com efeito, após deferir a inicial, julgar posteriormente extinto o processo por falta de possibilidade jurídica do pedido. - FREDERICO MARQUES, com agudeza habitual, doutrina: "O deferimento da inicial não tem efeito preclusivo: a matéria pertinente a esse indeferimento pode, ao depois, ser alegada a renovada. No entanto, a decisão proferida segundo o estado do processo, através de despacho saneador, dará causa à preclusão, se repelir argüição de preliminar antes apontado pelo réu, o mesmo se verificando com qualquer outra sentença proferida no curso do procedimento ("Manual de Direito Processual Civil", 2º, nº 331, pág. 18). - Assim, reexaminando a possibilidade jurídica do pedido, bem andou o ilustre Dr. Juiz em julgar extinto o processo, sem apreciação do mérito. Julgado em 14-03-1978 Arquivo do Ementário Forense, TJ/766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deferimento da inicial não tem efeito preclusivo.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2026-10-26T05:00:39.100Z</dcterms:created>
  <dcterms:modified xsi:type="dcterms:W3CDTF">2026-10-26T05:00:39.100Z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