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07/02/1978</w:t>
      </w:r>
    </w:p>
    <w:p/>
    <w:p>
      <w:r>
        <w:t xml:space="preserve">CRÉDITO DE EMPRESA PÚBLICA E SOCIEDADE DE ECONOMIA MISTA — CERTIDÕES RESPECTIVAS - SE O CARACTERIZAM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tratar dos títulos executivos extra-judiciais, o Código de Processo Civil menciona a certidão de dívida ativa das Fazendas Públicas, correspondente aos créditos inscritos na forma da lei. Faz alusão também a todos os demais títulos a que, por disposição expressa, a lei atribuir força executiva (art. 585, nsº. VI e VII). - Todavia, como observa JOSÉ DA SILVA PACHECO, a fixação do título executivo só pode ser feita por lei federal: "qualquer crédito não previsto em lei federal como sendo executivo não pode dar lugar à cobrança executiva, porque não é, por lei federal, título executivo" ("Execução Fiscal", nº 34). Os créditos das autarquias ou de outros órgãos paraestatais estão, a seu ver, abrangidos pelo nº VII do art. 585, desde que objeto de lei especial. - No caso da apelante, não há lei atribuindo força executiva ao título que apresentou. - Diz ela sub-rogada nos direitos e obrigações oriundos de contratos e convênios firmados pela Superintendência de Água e Esgotos da Capital, mas é evidente que tais convênios e contratos não lhe podem conferir poderes para criar título executivo extrajudicial, matéria que só a lei federal pode tratar (Constituição Federal, art. 8º, nº XVII, "a"). - Em bem elaborado estudo sobre "Execução fiscal: título, legitimação e competência", MILTON FLAKS assinala "falece legitimidade às empresas públicas e às sociedades de economia mista para auto-constituírem o seu crédito, ainda que o Poder Público detenha a totalidade do capital social" (RF apelada). - Deve prevalecer, em conseqüência, a sentença apelada. Julgado em 08-02-1978 Revista dos Tribunais. Setembro, 1978 - Vol. 515 - Pág. 126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585, nsº. VI e VIII, do Código de Processo Civil. - A fixação de título executivo só pode ser feita por lei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2026-10-26T03:03:51.673Z</dcterms:created>
  <dcterms:modified xsi:type="dcterms:W3CDTF">2026-10-26T03:03:51.673Z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