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DA COISA</w:t>
      </w:r>
    </w:p>
    <w:p/>
    <w:p>
      <w:r>
        <w:rPr>
          <w:b/>
          <w:bCs/>
        </w:rPr>
        <w:t xml:space="preserve">Julgado em: </w:t>
      </w:r>
      <w:r>
        <w:t xml:space="preserve">25/04/1979</w:t>
      </w:r>
    </w:p>
    <w:p/>
    <w:p>
      <w:r>
        <w:t xml:space="preserve">SE HÁ ENTRE AS DUAS RISCO DE DECISÕES CONFLITANTES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agravo contra despacho saneador proferido em ação reivindicatória. - O texto do despacho agravado está reproduzido... e a recorrente se insurge contra os seguinte tópicos: a) indeferimento do pedido de sustação do processo até decisão da ação de usucapião; b) indeferimento do pedido de citação do Município do Rio de Janeiro; c) indeferimento implícito de produção de prova pericial. - Assim sintetizado o recurso, impõe-se reconhecer que não assiste razão à agravante. - O pedido de sustação do processo não teria o menor cabimento, eis que não há risco de decisões conflitantes entre ação reivindicatória e ação de usucapião. A primeira é de natureza condenatória. e a segunda meramente declaratória. A eventual procedência da primeira não impede que, no juízo competente, se reconheça o direito do usucapiente. Sobre o assunto, esta Câmara já se pronunciou de modo exaustivo, como se vê do acórdão reproduzido (...), cujos fundamentos são aqui integralmente adotados... Julgado em 26-04-1979 Arquivo do Ementário Forense, TA/220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risco de decisões conflitantes entre ação reivindicatória e ação de usucapião; a primeira é de natureza condenatória e a segunda meramente declaratória; a eventual procedência da primeira não impede que, no juízo competente, se reconheça o direito do usucapiente.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2026-10-26T04:02:29.843Z</dcterms:created>
  <dcterms:modified xsi:type="dcterms:W3CDTF">2026-10-26T04:02:29.843Z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