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VENDA EXTRAJUDICIAL DA COISA</w:t>
      </w:r>
    </w:p>
    <w:p/>
    <w:p>
      <w:r>
        <w:rPr>
          <w:b/>
          <w:bCs/>
        </w:rPr>
        <w:t xml:space="preserve">Recurso: </w:t>
      </w:r>
      <w:r>
        <w:t xml:space="preserve">RE 84.695</w:t>
      </w:r>
    </w:p>
    <w:p>
      <w:r>
        <w:rPr>
          <w:b/>
          <w:bCs/>
        </w:rPr>
        <w:t xml:space="preserve">Julgado em: </w:t>
      </w:r>
      <w:r>
        <w:t xml:space="preserve">23/10/1978</w:t>
      </w:r>
    </w:p>
    <w:p/>
    <w:p>
      <w:r>
        <w:t xml:space="preserve">FIDUCIÁRIA QUE RECEBE O BEM E O VENDE EXTRAJUDICIALMENTE — SE PODE ACIONAR O AVALISTA PELO SALDO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objeto do presente recurso já foi solvida em precedentes deste Supremo Tribunal, dos quais destaco o RE 84.695, relatado pelo eminente Ministro MOREIRA ALVES, que assim lavrou a ementa do acórdão: "Alienação fiduciária em garantia. Se, vendida extrajudicialmente a coisa alienada fiduciariamente há saldo devedor, pode o credor, por ele, executar o avalista de nota promissória emitida, também em garantia do pagamento da quantia mutuada, pelo devedor. Interpretação dos §§ 4º e 5º, do art. 66 da Lei nº 4.728, de 1965, na redação dada pelo Decreto-lei nº 911/69, bem como dos arts. 2º, 5º e 6º do último desses diplomas legais." - No caso, há saldo devedor, pois a venda do bem alienado fiduciariamente não deu para satisfazer o total do crédito. Por ele responde o avalista que é equiparado ao devedor e responde pessoalmente por este saldo devedor. E a lei não exige a presença do devedor ou do avalista na alienação. - Assim, procede o recurso. - Dele conheço, para lhe dar provimento. Julgado em 24-10-1978 Revista Trimestral de Jurisprudência. Maio, 1979 - Vol. 88 - Pág. 726.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vendida extrajudicialmente a coisa alienada fiduciariamente, há saldo devedor, pode o credor, por ele, executar o avalista da nota promissória emitida também em garantia do pagamento da quantia mutuada. - A venda extrajudicial do bem não reclama a participação do devedor.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2026-10-26T02:50:27.639Z</dcterms:created>
  <dcterms:modified xsi:type="dcterms:W3CDTF">2026-10-26T02:50:27.639Z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