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/>
    <w:p>
      <w:r>
        <w:t xml:space="preserve">DECISÃO LIMINAR CONCEDIDA EM BUSCA E APREENSÃO — EFEITOS DE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Tornou-se incontroverso nos autos, que o Embargado foi desapossado do veículo que havia adquirido de A.C.C., réu na presente ação, que, por sua vez, o havia adquirido em leilão emergente de procedimento judicial, intentado pela firma Crefisul, ora Embargante, contra G. O. de O.. - "In casu", também não há dúvida de que o Embargante foi desapossado do veiculo em causa, em virtude de decisão judicial em favor da firma Credibras Financeira do Brasil S.A. - Crédito Financiamento e Investimento, em decorrência, ainda, de ação de busca e apreensão promovida por essa firma contra o mesmo G. C. de O., baseada, do mesmo modo que a ação proposta pela firma Crefisul, em contrato de financiamento com alienação fiduciária do citado veículo. - Tem-se, assim, que o Embargado, em virtude de decisão judicial sofreu a perda total desse veículo, que adquirira do réu A. C. C. - Por essa evicção, responde, o réu, alienante, nos termos do art. 1.107, do Código Civil, eis que se trata de alienação onerosa. - O direito de regresso assegurado ao réu autor da firma denunciada, na sentença e no v. acórdão, que por maioria a confirmou, tem amparo no art. 70, item. I, do Código de Processo Civil como no disposto no art. 116, do Código Civil. - Pouco importa, ao deslinde da presente controvérsia a circunstância de os réus e o denunciado à lide terem adquirido regularmente o veículo em questão. - É que não se cuida na espécie de ação fundada em ilicitude civil, mas em pretensão à restituição do valor do bem alienado, pelo risco da evicção, perfeitamente configurado nos autos, como acima ficou evidenciado. - Irrepreen sível, pois, a respeitável decisão embargada. - Daí a rejeição dos embargos. Julgada em 30-11-1978 Arquivo do Ementário Forense, TA/214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onerosos, o alienante tem o dever de garantir o adquirente dos riscos da evicção. - Para efeito do direito de regresso, equipara-se à sentença a decisão liminar concedida em ação de busca e apreensão, nos moldes do art. 3º do D.L. nº 911, de 1969.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2026-10-26T02:32:50.493Z</dcterms:created>
  <dcterms:modified xsi:type="dcterms:W3CDTF">2026-10-26T02:32:50.493Z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