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02/04/1979</w:t>
      </w:r>
    </w:p>
    <w:p/>
    <w:p>
      <w:r>
        <w:t xml:space="preserve">DEFEITOS DO IMÓVEL QUE IMPEDEM A SUA DESTINAÇÃO — CONTRATO NÃO MATERIALIZADO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Razões de decidir: - Trata-se de apelo contra decisão que negou o atendimento de alugueres e multa em contrato de locação que não chegou a se materializar. - E assim não ocorreu porque, assim recebidas as chaves, verificou a locatária a sua imprestabilidade por defeitos reconhecidos, além do não funcionamento do telefone. - Devolveu as chaves, aceitas pela locadora. - Despicienda a arguição no sentido de que a aceitação das chaves implica em reconhecimento da prestabilidade da coisa locada. É de trivial sabença que, só depois do momento em que se opera a tradição do imóvel está o locatário em situação de verificar a sua idoneidade material. Estando imprestável, como no caso, e isto não se contesta, devolve-se exonerada a locatária de todos os deveres inerentes ao contrato por força da "exceptio non adimpleti contractus". - Confirma-se, pois. - Negado provimento ao recurso. Julgado em 03-04-1979 Arquivo do Ementário Forense, TA/222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inservível a cousa locada, por defeitos intrínsecos, não viola o contrato locatício o locatário que a devolve, sem uso e sem pagar os alugueres.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2026-10-26T03:45:25.075Z</dcterms:created>
  <dcterms:modified xsi:type="dcterms:W3CDTF">2026-10-26T03:45:25.075Z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