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REGISTRO DO TERMO DE NASCIMENTO</w:t>
      </w:r>
    </w:p>
    <w:p/>
    <w:p>
      <w:r>
        <w:rPr>
          <w:b/>
          <w:bCs/>
        </w:rPr>
        <w:t xml:space="preserve">Recurso: </w:t>
      </w:r>
      <w:r>
        <w:t xml:space="preserve">RE 70.537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29/05/1978</w:t>
      </w:r>
    </w:p>
    <w:p/>
    <w:p>
      <w:r>
        <w:t xml:space="preserve">ESTADO REMETENTE E ESTADO DESTINATÁRIO — QUAL O PREÇO QUE SERVE DE BASE ÀS PERCENTAGENS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discutida no recurso extraordinário foi julgada nesta 1ª Turma em duas oportunidades pelo menos: em 30-11-73 no RE nº 70.537, e, em 30-10-73, no RE nº 74.882. - Lê-se na ementa do acórdão proferido no primeiro precedente (f.): "ICM. O preço de venda deve ser o real. Se houver desconto pela filial, deve ser feito o reajustamento correspondente, cabendo ao estado destinatário 20% do preço real. Todavia, desde que não houve fraude é de se excluir a multa imposta à recorrente. Recurso provido em parte." - Eis a ementa do segundo precedente (f.): "ICM. Repartição do tributo, sendo 80% para o estado remetente e 20% para o destinatário. O preço que serve de base para o cálculo é o correspondente ao da remessa ou saída da mercadoria, o preço real, e não aquele resultante de descontos concedidos pela filial. Inocorrência de negativa de vigência do art. 53, § 2º, do Código Tributário Nacional. Exclusão de multa, de acordo com a jurisprudência do STF. Recurso provido em parte." - O caso agora debatido é idêntico aos acima indicados. - Não tenho razão para modificar o entendimento da citada jurisprudência. - Nego provimento ao agravo regimental. Julgado em 30-05-1978 Revista Trimestral de Jurisprudência. Fevereiro, 1979 - Vol. 87 - Pág. 494 EMENTÁRIO FORENSE. Dezembro, 1979 - ANO XXXI -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preço que serve de base para o cálculo da repartição do tributo em 80% para o Estado remetente da mercadoria e 20% para o destinatário, é o correspondente ao da remessa, isto é, o preço real, e não aquele que resulta de descontos concedidos pela filial.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2026-07-27T23:53:18.622Z</dcterms:created>
  <dcterms:modified xsi:type="dcterms:W3CDTF">2026-07-27T23:53:18.622Z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