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REGISTRO DO TERMO DE NASCIMENTO</w:t>
      </w:r>
    </w:p>
    <w:p/>
    <w:p>
      <w:r>
        <w:rPr>
          <w:b/>
          <w:bCs/>
        </w:rPr>
        <w:t xml:space="preserve">Julgado em: </w:t>
      </w:r>
      <w:r>
        <w:t xml:space="preserve">20/08/1978</w:t>
      </w:r>
    </w:p>
    <w:p/>
    <w:p>
      <w:r>
        <w:t xml:space="preserve">AUSÊNCIA DO MARIDO — SE ESTÁ OBRIGADA A DEPÓSITO DE METADE DO VALOR E SE DEPENDE DE PRÉVIA DECLARAÇÃO DE AUSÊNCIA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é de lei, a mulher, na ausência do marido, assume a direção e administração do casal, podendo alienar os bens do marido mediante autorização judicial (art. 251, do Código Civil). Sendo assim, na direção e administração do casal, não se pode negar à mulher o direito de pretender o suprimento de consentimento do marido para alienar imóvel do casal. - Já dizia CLÓVIS, ao comentar o artigo citado. "Estando o marido em lugar remoto e não sabido, isto é, longe do lar, sem se comunicar com os seus sem tomar as necessárias providências, para que a direção da família não sofra, muito embora ainda não tenha sido declarado ausente, é necessário que alguém assuma o lugar que ele desertou e esse alguém não pode ser senão a mulher, cuja incapacidade civil, então, cessa e que pode praticar todos e atos da vida jurídica, inclusive os judiciais, sem necessidade de autorização de quem quer que seja, salvo quando se tratar de alienação de imóveis" ("Código Civil", pág. 628). - Assinala o grande mestre não ser preciso que o marido seja declarado ausente, bastando que ele esteja em lugar incerto e não sabido. Isso é repetido por CARVALHO SANTOS: "Não se faz preciso que o marido seja declarado ausente. É bastante que ele esteja em lugar incerto e não sabido. Pois é necessário que alguém tome direção da sociedade conjugal, velando pela manutenção da família e seus interesses econômicos, não tolerando a lei que a família fique sem administração, sem representante" ("Código Civil Interpretado", vol. IV, págs. 463-464). - Pelo exposto, dou provimento à apelação para cassar a decisão recorrida e deferir o pedido, devendo a parte pertencente ao marido ausente ser depositada na Caixa Econômica Estadual, em caderneta de poupança, com juros e correção monetária, declarando-se depois sua ausência (art. 1.159, do Código de Processo Civil, abrindo-se, se for o caso, a sucessão provisória. Julgado em 21-08-1978 Jurisprudência Mineira, Julho a Dezembro de 1978 - Vol. 72 - Pág. 109 EMENTÁRIO FORENSE. Dezembro, 1979 - ANO XXXI -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mulher, na ausência do marido, assume a direção e administração do patrimônio do casal, razão pela qual pode alienar bens do casal, mediante autorização judicial, e sem necessidade alguma do depósito de metade do produto da venda à disposição do Juízo de Ausentes e nem sequer de prévia declaração de ausência do consorte-varão.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2026-10-26T02:34:15.880Z</dcterms:created>
  <dcterms:modified xsi:type="dcterms:W3CDTF">2026-10-26T02:34:15.880Z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