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>
      <w:r>
        <w:rPr>
          <w:b/>
          <w:bCs/>
        </w:rPr>
        <w:t xml:space="preserve">Julgado em: </w:t>
      </w:r>
      <w:r>
        <w:t xml:space="preserve">15/05/1978</w:t>
      </w:r>
    </w:p>
    <w:p/>
    <w:p>
      <w:r>
        <w:t xml:space="preserve">CONCEPÇÃO NA CONSTÂNCIA DA SOCIEDADE CONJUGAL — REGISTRO DE NASCIMENTO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ação proposta pelo cônjuge mulher contra o marido, na constância da sociedade conjugal, para anular registro de nascimento de filho adulterino "a patre", com o reconhecimento deste, no próprio termo. - O fato em si se acha suficientemente evidenciado, não só no que respeita à materialidade, confirmada, de forma inequívoca, pela prova documental, como no que concerne à autoria, confessada, sem restrições, pelo indigitado pai. - O Juiz, louvado nos princípios que inspiram o direito de reconhecimento de filho havido fora do matrimônio, regulamentado pela Lei nº 6.515/77, e apegando-se à norma do art. 60, da nova Lei de Registros Públicos (Lei nº 6.015/73), julgou a ação improcedente e determinou, em processo apartado, a concessão de alimento ao filho reconhecido. - ....................................................... - Em princípio, cumpre ressaltar que o Código Civil estabelece três formas distintas de reconhecimento voluntário do filho ilegítimo: no próprio termo do registro do nascimento, mediante escritura pública ou por testamento. Isto quanto aos filhos naturais, concebidos fora do matrimônio, sem os impedimentos deste. - Quanto aos filhos adulterinos, depreende-se do disposto na mesma lei substantiva civil que o reconhecimento pela forma espontânea, no próprio termo de nascimento, poderá ser feito quando o nascimento ocorrer após a dissolução da sociedade conjugal, seja pelo desquite superveniente à concepção, pela morte do outro cônjuge, ou pela anulação do casamento. - De regra, todavia, o reconhecimento voluntário dos filhos, ai nda que adulterinos mas depois de cessados os impedimentos matrimoniais, se fazia por escritura pública ou por testamento, já que o reconhecimento no próprio termo do registro de nascimento só poderá se realizar mediante declaração do pai ou da mãe, no ato inicial do registro, nunca, porém, "a posteriori". - Só pelo reconhecimento compulsório, através da via própria, poderia ocorrer o reconhecimento posterior ao ato inicial do registro, mediante averbação, sempre que se tratasse de filho adulterino reconhecido após a dissolução do casamento. - ... em termos genéricos, a problemática do reconhecimento dos filhos adulterinos, que só após o advento da Lei nº 883/49, se tornou menos complexa, passando a facultar o reconhecimento do filho havido fora do matrimônio, depois de dissolvido este por qualquer das formas permitidas em direito. Antes deste diploma, só nos casos de desquite, declarava a lei, expressamente, era permitido o reconhecimento, o que ensejou o seu abrandamento, pela jurisprudência, passando os tribunais a admitir o reconhecimento em todos os casos de extinção do matrimônio. - ....................................................... - Proibindo o seu reconhecimento pura e simplesmente, pelo art. 358, do Código Civil, logrou abertura para a primeira permissibilidade de reconhecimento com o advento do Decreto-Lei nº 4.737 de 1942, nos casos de adulterinidade "a patre", quando da dissolução do casamento, pelo desquite, vindo a ter ampliado aquele direito sob o império da Lei nº 883/49. - Acontece que a lei vigente - LEI nº 6.515/77 - regulamentadora do divórcio, suprindo imperfeições, é expressa e sobremaneira categórica: alterando, em seu conteúdo, a lei nº 883/49, estabelece no art. 51, parágrafo único: "Ainda que na vigência do casamento, qualquer dos cônjuges poderá reconhecer o filho havido fora do matrimônio, em testamento cerrado, aprovado antes ou depois do nascimento do filho", e nessa pa rte, irrevogável. - A despeito das razões expostas, forçoso é concluir que, no caso, não está em julgamento, o direito de reconhecer o filho adulterino, porém a forma pela qual foi feito o reconhecimento. - Ora, se o direito anterior só o permitia no caso de dissolução da sociedade conjugal - e esta, na espécie, não ocorrera -, e o atual, embora permitindo, só admite mediante TESTAMENTO CERRADO, impossível a convalidação do reconhecimento de filho adulterino, feito pelo pai, na constância da sociedade conjugal, fora das condições estabelecidas em lei. - Dessa maneira, merece provida a apelação, para o efeito de, reformada a decisão recorrida, ser a ação julgada procedente e declarado nulo o registro, consequentemente, como o faço, nos termos do art. 145, incisos II e III, do Código Civil. Julgado em 16-05-1978 Arquivo do Ementário Forense, TJ/674 EMENTÁRIO FORENSE, Novembro, 1979 - ANO XXXI - Nº 372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Proibindo o Código Civil o reconhecimento dos filhos adulterinos, só admitido por força da Lei nº 883/49, uma vez dissolvida a sociedade conjugal, impossível a convalidação do reconhecimento, feito pelo próprio pai, em termo de registro de nascimento, de filho concebido na constância da sociedade conjugal.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2026-10-26T05:53:31.851Z</dcterms:created>
  <dcterms:modified xsi:type="dcterms:W3CDTF">2026-10-26T05:53:31.851Z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