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04/10/1976</w:t>
      </w:r>
    </w:p>
    <w:p/>
    <w:p>
      <w:r>
        <w:t xml:space="preserve">PRESSUPOSTO DE INSOLVÊNCIA — REFERÊNCIA AO PRIMEIRO TRANSMITENTE E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importa, para a ocorrência da fraude à execução é a satisfação do binômio imposto pelo art. 895, II, do Código de Processo Civil de 1939. - E este existia, como bem demonstrou a sentença, ainda que não se considerem os documentos (...). - De fato. - Ao transmitir à mulher, por motivo de desquite amigável, todo o seu patrimônio, quando pendia ação que poderia terminar em condenação nos termos do Código citado, art. 310, outro propósito não teve o marido devedor e réu já acionado, do que prejudicar o êxito da demanda ajuizada pela ora recorrente. - Pouco importa que a mulher beneficiada com a doação, transferisse a terceiro os bens recebidos. - Tendo conhecimento das ações contra seu marido movidas, como confessou na petição (...), e alcançando finalizar o inventário, antes de homologado o desquite em Segunda Instância, obteve carta de adjudicação e, na mesma era, transferiu todo o patrimônio, figurando entre os adquirentes o recorrido (...). - Ineficaz, pois, a primeira transferência, não poderiam prevalecer as demais. - Esta a jurisprudência assente no Supremo Tribunal Federal. - Permito-me invocar, entre outros, dois expressivos julgados que bem se ajustam à espécie, RE ns. 71.053, de 19-03-1971; e 75.349, de 20-11-72, in RTJ. 58/65 e 64/285, respectivamente. - Dizem suas ementas: "Embargos de terceiro. Fraude da execução. A fraude será sempre apreciada em relação ao tempo da alienação, para atingir primeiramente as alienações mais próximas. Recursos extraordinários conhecidos e prov idos em parte". (RTJ 58/65). "Fraude à execução. Nulidade da alienação, quando pendia demanda capaz de alterar o patrimônio do alienante, reduzindo-o a insolvência, Não se requer que em tal demanda haja penhora, e, muito menos, que tenha sido inscrita. Nem há que cogitar de boa ou má-fé do adquirente. Art. 895, nº II, do Código de Processo Civil. Recurso extraordinário conhecido e provido". - É o meu voto. Julgado em 05-10-1976 Revista Trimestral de Jurisprudência. Novembro, 1978 - Vol. 86 - Pág. 550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exigem os arts. 888, V, e 895, II, do Código de Processo Civil de 1939, mantidos pelo vigente, arts. 592, V, e 593, II, que contra o segundo alienante, pende demanda que afetando o seu patrimônio, reduza-o à insolvência, é bastante que tais pressupostos ocorram com alusão ao devedor, e primeiro transmitente.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2026-07-28T01:47:33.222Z</dcterms:created>
  <dcterms:modified xsi:type="dcterms:W3CDTF">2026-07-28T01:47:33.222Z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