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14/09/1955</w:t>
      </w:r>
    </w:p>
    <w:p/>
    <w:p>
      <w:r>
        <w:t xml:space="preserve">PRAZO DE DECADÊNCIA — SUA CONTAGEM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Essa decisão (que julgou prescrita a ação) não deve prevalecer, porque como muito bem lembrou o Dr. Procurador Geral, esse prazo deflui tão só e unicamente a partir da data em que tiver sido publicado o aviso de que trata o artigo 114 da Lei de Falências, segundo preceituação expressa do artigo 56, parágrafo primeiro da mesma lei. Ora, o aviso em questão, na espécie, só foi publicado no "Diário da Justiça", de 29 de julho de 1953..., tendo sido a ação proposta a 19 de maio de 1954, antes, portanto, do decurso de um ano. Não ficou, desse modo, decadente o direito do agravante, pois não é do início da liquidação, mas da publicação do aludido aviso, que se fixa o termo inicial do prazo para que proposta seja a ação revocatória. Julgado em 15-09-1955 Diário da Justiça. Dezembro, 1956 - pág. 2.436 Ap. ao Nº 292 EMENTÁRIO FORENSE. Abril, 1957. Ano IX. Nº 101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interposição de ação revocatória é contado da data da publicação do aviso de que trata o artigo 114 da Lei de Falências, nos precisos termos do artigo 56 parágrafo primeiro, da mesma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2026-07-27T23:36:19.835Z</dcterms:created>
  <dcterms:modified xsi:type="dcterms:W3CDTF">2026-07-27T23:36:19.835Z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