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REPRESENT DE INCONSTITUCIONALIDADE</w:t>
      </w:r>
    </w:p>
    <w:p>
      <w:r>
        <w:rPr>
          <w:i/>
          <w:iCs/>
          <w:color w:val="666666"/>
        </w:rPr>
        <w:t xml:space="preserve">PRAZO DE DECADÊNCIA</w:t>
      </w:r>
    </w:p>
    <w:p/>
    <w:p>
      <w:r>
        <w:rPr>
          <w:b/>
          <w:bCs/>
        </w:rPr>
        <w:t xml:space="preserve">Julgado em: </w:t>
      </w:r>
      <w:r>
        <w:t xml:space="preserve">22/03/1961</w:t>
      </w:r>
    </w:p>
    <w:p/>
    <w:p>
      <w:r>
        <w:t xml:space="preserve">AÇÕES NÃO INTEGRALIZADAS — FALTA DE LEGITIMIDADE PARA REQUERER A FALÊNCIA DA SOCIEDADE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sendo certo que, segundo dispõe o artigo 23, 2º, do citado decreto-lei, "as ações, cujas entradas não consistirem em dinheiro, só depois de integralizadas poderão ser emitidas", e, na espécie, não poderão ser emitidas, por não integralizadas, não possui o ora agravante título legítimo para requerer a falência da sociedade, uma vez que, para tal fim, necessário é que o acionista apresente suas ações, consoante estabelece o artigo 9, II, da lei de falências. - Assim, o indeferimento do pedido de falência impunha-se e com acerto procedeu o juiz, neste passo. Julgado em 23-03-1961 Revista Jurídica. Julho-Agosto, 1961 - pág. 156. Nº 52 EMENTÁRIO FORENSE. Maio, 1962. Ano XIV. Nº 162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Acionista, cujas ações não foram emitidas, por não terem sido integralizadas, no caso das entradas não consistirem em dinheiro (artigo 23, parágrafo segundo, do Decreto-lei nº 2.626, de 16-09-1940), não tem título legítimo para requerer a falência da sociedade por ações; para tal fim a lei estabelece a exigência da apresentação das ações (artigo 9, II, da lei de falências).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2026-07-27T23:37:19.814Z</dcterms:created>
  <dcterms:modified xsi:type="dcterms:W3CDTF">2026-07-27T23:37:19.814Z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