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22/03/1961</w:t>
      </w:r>
    </w:p>
    <w:p/>
    <w:p>
      <w:r>
        <w:t xml:space="preserve">AÇÕES NÃO INTEGRALIZADAS — FALTA DE LEGITIMIDADE PARA REQUERER A FALÊNCIA DA SOCIEDADE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sendo certo que, segundo dispõe o artigo 23, 2º, do citado decreto-lei, "as ações, cujas entradas não consistirem em dinheiro, só depois de integralizadas poderão ser emitidas", e, na espécie, não poderão ser emitidas, por não integralizadas, não possui o ora agravante título legítimo para requerer a falência da sociedade, uma vez que, para tal fim, necessário é que o acionista apresente suas ações, consoante estabelece o artigo 9, II, da lei de falências. - Assim, o indeferimento do pedido de falência impunha-se e com acerto procedeu o juiz, neste passo. Julgado em 23-03-1961 Revista Jurídica. Julho-Agosto, 1961 - pág. 156. Nº 52 EMENTÁRIO FORENSE. Maio, 1962. Ano XIV. Nº 162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Acionista, cujas ações não foram emitidas, por não terem sido integralizadas, no caso das entradas não consistirem em dinheiro (artigo 23, parágrafo segundo, do Decreto-lei nº 2.626, de 16-09-1940), não tem título legítimo para requerer a falência da sociedade por ações; para tal fim a lei estabelece a exigência da apresentação das ações (artigo 9, II, da lei de falências).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2026-10-26T02:06:55.659Z</dcterms:created>
  <dcterms:modified xsi:type="dcterms:W3CDTF">2026-10-26T02:06:55.659Z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