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07/06/1965</w:t>
      </w:r>
    </w:p>
    <w:p/>
    <w:p>
      <w:r>
        <w:t xml:space="preserve">PREVISÃO LEGAL — LIMITES - BENS GRAVADOS COM HIPOTECA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Nem é cabível o recurso. - O acórdão recorrido, longe de contrariar a letra da lei, está em perfeita harmonia com ela. - A adjudicação na falência é prevista na lei respectiva, mas para bens gravados com hipoteca (artigo 119, que se reporta ao artigo 822 do Código Civil, onde está dito que o credor hipotecário pode requerer adjudicação do imóvel). - Quanto ao acórdão apontado, sobre aplicação subsidiária do Código de Processo Civil, não a negou o acórdão recorrido, que, entretanto, fez vez claramente não ter ela o alcance pretendido pelo recorrente. Julgado em 08-06-1965 Revista Trimestral de Jurisprudência, 1965 - Vol. 34 - Pág. 44 EMENTÁRIO FORENSE. Janeiro, 1966. Ano XVIII. Nº 206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adjudicação na falência é prevista na lei respectiva, mas para bens gravados com hipoteca (artigo 119, que se reporta ao artigo 822 do Código Civil, onde está dito que o credor hipotecário pode requerer adjudicação do imóvel).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2026-07-27T23:35:45.603Z</dcterms:created>
  <dcterms:modified xsi:type="dcterms:W3CDTF">2026-07-27T23:35:45.603Z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