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REPRESENT DE INCONSTITUCIONALIDADE</w:t>
      </w:r>
    </w:p>
    <w:p>
      <w:r>
        <w:rPr>
          <w:i/>
          <w:iCs/>
          <w:color w:val="666666"/>
        </w:rPr>
        <w:t xml:space="preserve">PRAZO DE DECADÊNCIA</w:t>
      </w:r>
    </w:p>
    <w:p/>
    <w:p>
      <w:r>
        <w:rPr>
          <w:b/>
          <w:bCs/>
        </w:rPr>
        <w:t xml:space="preserve">Julgado em: </w:t>
      </w:r>
      <w:r>
        <w:t xml:space="preserve">07/06/1965</w:t>
      </w:r>
    </w:p>
    <w:p/>
    <w:p>
      <w:r>
        <w:t xml:space="preserve">PREVISÃO LEGAL — LIMITES - BENS GRAVADOS COM HIPOTECA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Nem é cabível o recurso. - O acórdão recorrido, longe de contrariar a letra da lei, está em perfeita harmonia com ela. - A adjudicação na falência é prevista na lei respectiva, mas para bens gravados com hipoteca (artigo 119, que se reporta ao artigo 822 do Código Civil, onde está dito que o credor hipotecário pode requerer adjudicação do imóvel). - Quanto ao acórdão apontado, sobre aplicação subsidiária do Código de Processo Civil, não a negou o acórdão recorrido, que, entretanto, fez vez claramente não ter ela o alcance pretendido pelo recorrente. Julgado em 08-06-1965 Revista Trimestral de Jurisprudência, 1965 - Vol. 34 - Pág. 44 EMENTÁRIO FORENSE. Janeiro, 1966. Ano XVIII. Nº 206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adjudicação na falência é prevista na lei respectiva, mas para bens gravados com hipoteca (artigo 119, que se reporta ao artigo 822 do Código Civil, onde está dito que o credor hipotecário pode requerer adjudicação do imóvel).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2026-10-26T02:05:34.199Z</dcterms:created>
  <dcterms:modified xsi:type="dcterms:W3CDTF">2026-10-26T02:05:34.199Z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