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11/10/1951</w:t>
      </w:r>
    </w:p>
    <w:p/>
    <w:p>
      <w:r>
        <w:t xml:space="preserve">EXTENSÃO DA FALÊNCIA AO MESMO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positiva no presente é que o concordatário outorgou ao agravante uma procuração com poderes para gerir o seu estabelecimento mercantil, ao lado de uma promessa de compra e venda do próprio estabelecimento. Alega o concordatário que o agravante descumpriu o contrato, não realizando as prestações concordatárias a que se obrigara. A procedência ou não desse inadimplemento imputado ao agravante constitui matéria a ser apurada em ação própria partida do concordatário ou do síndico da falência, apurando-se se efetivamente deu-se ou não a infringência do contrato. Mesmo que, em lugar de contrato de promessa, o que tivesse havido se resumisse no desempenho de um mandato, cabe, antes do mais, exigir a necessária prestação de contas da gestão do agravante como mandatário. O que se não compreende e nem se justifica é a decretação da extensão da falência do concordatário ao que lhe adquiriu o estabelecimento, ou simplesmente se tornou mero mandatário. Se, por seu turno, o adquirente, incorreu em motivos de falência, tem eles que ser considerados como próprios, autônomos, dando causa a um processo distinto, e jamais criando um processo por extensão. Julgado em 12-10-1951 Diário da Justiça. Setembro, 1952 - pág. 4163 - Ap. ao Nº 205 EMENTÁRIO FORENSE. Outubro, 1952. Ano IV. Nº 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extensão da falência em relação ao adquirente do estabelecimento do concordatário pelo não pagamento das prestações da concordata, a que se obrigara perante o vendedor. Em tais casos, a responsabilidade do adquirente manifesta-se com efeitos autônomos e distintos e só perante quem contratou.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2026-07-28T02:07:28.965Z</dcterms:created>
  <dcterms:modified xsi:type="dcterms:W3CDTF">2026-07-28T02:07:28.965Z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