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REPRESENT DE INCONSTITUCIONALIDADE</w:t>
      </w:r>
    </w:p>
    <w:p>
      <w:r>
        <w:rPr>
          <w:i/>
          <w:iCs/>
          <w:color w:val="666666"/>
        </w:rPr>
        <w:t xml:space="preserve">PRAZO DE DECADÊNCIA</w:t>
      </w:r>
    </w:p>
    <w:p/>
    <w:p>
      <w:r>
        <w:rPr>
          <w:b/>
          <w:bCs/>
        </w:rPr>
        <w:t xml:space="preserve">Julgado em: </w:t>
      </w:r>
      <w:r>
        <w:t xml:space="preserve">12/10/1949</w:t>
      </w:r>
    </w:p>
    <w:p/>
    <w:p>
      <w:r>
        <w:t xml:space="preserve">DESPACHO QUE A DECRETA DEFERINDO ARRESTO ANTERIOR À FALÊNCIA — IRRECORRIBILIDADE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Não há dúvida de que, com a falência, ditos embargos não ficaram suspensos, mas isso não quer dizer que os bens arrestados não possam ser arrecadados. - O arresto não foi feito para acautelar os mencionados embargos, e sim para garantir a execução que pretendiam os arrestantes mover à firma arrestada. - Destarte, podiam os mencionados bens ser arrecadados, com as cautelas previstas no art. 70, parág. 6º, nº IV. A decisão ordenando tal arrecadação é, de fato, irrecorrível, tanto assim que o agravante procurou usar do recurso previsto para o julgamento dos seus embargos. Como muito bem ponderou o juiz a sua decisão não implicou isso, razão por que não admitiu o recurso. Merece confirmação o ato do juiz, por ser meramente ordenatório do processo e, portanto, irrecorrível. Julgado em 13-10-1949 VOTO VENCIDO DO DESEMBARGADOR SAMUEL SILVA: Julgava improcedente a preliminar de não se tomar conhecimento do recurso, porque o despacho agravado é meramente ordenatório do processo. Diversos e muito mais extensos são os efeitos decorrentes da aludida decisão... Não se trata de mero despacho ordenatório; ao contrário, encerra solução que fere os direitos invocados pelo agravante, o que justifica a admissibilidade do recurso pelo mesmo interposto, a fim de ser o mesmo apreciado e decidido em segunda instância. Diário de Justiça. Julho-Outubro, 1949- pg. 355. vol. XXXI ano XVIII. fasc. 7-10 EMENTÁRIO FORENSE. Maio, 1950. Ano II. Nº 18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Verifica-se, na espécie, que constituiu objeto do arresto a existência comercial da firma falida. O agravante, dizendo-se dono dos bens arrestados, apresentou embargos de terceiro. Antes, porém, de serem os mesmos julgados, foram os bens arrecadados pelo síndico.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2026-07-28T00:17:05.348Z</dcterms:created>
  <dcterms:modified xsi:type="dcterms:W3CDTF">2026-07-28T00:17:05.348Z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