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12/10/1949</w:t>
      </w:r>
    </w:p>
    <w:p/>
    <w:p>
      <w:r>
        <w:t xml:space="preserve">DESPACHO QUE A DECRETA DEFERINDO ARRESTO ANTERIOR À FALÊNCIA — IRRECORRIBILIDADE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de que, com a falência, ditos embargos não ficaram suspensos, mas isso não quer dizer que os bens arrestados não possam ser arrecadados. - O arresto não foi feito para acautelar os mencionados embargos, e sim para garantir a execução que pretendiam os arrestantes mover à firma arrestada. - Destarte, podiam os mencionados bens ser arrecadados, com as cautelas previstas no art. 70, parág. 6º, nº IV. A decisão ordenando tal arrecadação é, de fato, irrecorrível, tanto assim que o agravante procurou usar do recurso previsto para o julgamento dos seus embargos. Como muito bem ponderou o juiz a sua decisão não implicou isso, razão por que não admitiu o recurso. Merece confirmação o ato do juiz, por ser meramente ordenatório do processo e, portanto, irrecorrível. Julgado em 13-10-1949 VOTO VENCIDO DO DESEMBARGADOR SAMUEL SILVA: Julgava improcedente a preliminar de não se tomar conhecimento do recurso, porque o despacho agravado é meramente ordenatório do processo. Diversos e muito mais extensos são os efeitos decorrentes da aludida decisão... Não se trata de mero despacho ordenatório; ao contrário, encerra solução que fere os direitos invocados pelo agravante, o que justifica a admissibilidade do recurso pelo mesmo interposto, a fim de ser o mesmo apreciado e decidido em segunda instância. Diário de Justiça. Julho-Outubro, 1949- pg. 355. vol. XXXI ano XVIII. fasc. 7-10 EMENTÁRIO FORENSE. Maio, 1950. Ano II. Nº 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Verifica-se, na espécie, que constituiu objeto do arresto a existência comercial da firma falida. O agravante, dizendo-se dono dos bens arrestados, apresentou embargos de terceiro. Antes, porém, de serem os mesmos julgados, foram os bens arrecadados pelo síndico.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2026-10-26T03:25:32.675Z</dcterms:created>
  <dcterms:modified xsi:type="dcterms:W3CDTF">2026-10-26T03:25:32.675Z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