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Julgado em: </w:t>
      </w:r>
      <w:r>
        <w:t xml:space="preserve">24/05/1951</w:t>
      </w:r>
    </w:p>
    <w:p/>
    <w:p>
      <w:r>
        <w:t xml:space="preserve">SUA PRÁTICA SEM AUDIÊNCIA DO SÍNDICO — NULIDADE INDEPENDENTE DE PROVA DE PREJUÍZO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próprio art. 4º, parág. único, do Decreto-lei de 14 de dezembro de 1937 estabelece: "nenhuma penalidade será aplicada ou dívida inscrita sem prévia audiência do infrator ou do devedor." - Ora, se este é falido, indispensável a audiência do síndico, nos termos do art. 40, parág. 1º, combinado com o art. 59 da Lei de Falências. - Por força do art. 40, parág. 1º, da Lei de Falências, não pode o devedor, desde o momento da abertura da falência, praticar qualquer ato que se refira, direta ou indiretamente, aos bens, interesses, direitos e obrigações compreendidas na falência, sob pena de nulidade, que o juiz pronunciará de ofício, independentemente de prova de prejuízo. - E o art. 59 da mesma lei atribui a administração da falência ao síndico, sob a imediata direção e superintendência do juiz. O escólio de MIRANDA VALVERDE, ao art. 40, parág. 1º, é concludente e inadversável: "Perdendo a administração de seus bens e a disponibilidade deles, nenhum ato poderá mais o devedor praticar com referência aos bens, interesses, direitos e obrigações compreendidos na falência. A sanção civil para o caso de violação do preceito proibitivo é a nulidade absoluta, de pleno direito, do ato. - Vige, em toda a sua extensão, o disposto no art. 146 do Código Civil. Não há necessidade de se invocar o prejuízo que do ato decorreu para a massa. "Quod nullum est, nullum producit effectum". A velha máxima tem aqui inteira aplicação." ("Comentários à Lei de Falências", ed. "Revista Forense", vol. I, pág. 240, nº 259) Julgado em 25-05-1951 Revista Forense. Novembro, 1951 - pág. 132. vol. CXXXVIII. ano XLVIII. fasc. 581 EMENTÁRIO FORENSE. Março, 1952. Ano IV. Nº 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40, parág. 1º, combinado com o art. 29 da Lei de Falências. - É nulo, independente de prova de prejuízo, o ato do falido, após a declaração de falência, sem audiência do síndico.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2026-07-28T00:49:52.537Z</dcterms:created>
  <dcterms:modified xsi:type="dcterms:W3CDTF">2026-07-28T00:49:52.537Z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