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REPRESENT DE INCONSTITUCIONALIDADE</w:t>
      </w:r>
    </w:p>
    <w:p>
      <w:r>
        <w:rPr>
          <w:i/>
          <w:iCs/>
          <w:color w:val="666666"/>
        </w:rPr>
        <w:t xml:space="preserve">PRAZO DE DECADÊNCIA</w:t>
      </w:r>
    </w:p>
    <w:p/>
    <w:p>
      <w:r>
        <w:rPr>
          <w:b/>
          <w:bCs/>
        </w:rPr>
        <w:t xml:space="preserve">Julgado em: </w:t>
      </w:r>
      <w:r>
        <w:t xml:space="preserve">17/05/1962</w:t>
      </w:r>
    </w:p>
    <w:p/>
    <w:p>
      <w:r>
        <w:t xml:space="preserve">HABILITAÇÃO — SE IMPEDE O CREDOR DE EXECUTAR O AVALISTA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 Realmente, a matéria invocada na defesa ficara definitivamente repelida pelo saneador irrecorrido. - E o fato confessado pelo apelado de estar demandando o pagamento da dívida, na falência do jornal emitente do título, não impedia o ajuizamento desta ação contra um dos avalistas, para o mesmo fim. - Pois tal permissão resultava da solidariedade das obrigações cambiais (Lei Cambial, artigo 43), e do disposto nos artigos 50 da Lei Cambial, 910 do Código Civil, e 27 da Lei Falimentar. - Isso, o que bem acentuam PONTES DE MIRANDA ("Tratado de Direito Privado", tomo XXII, parágrafo 2.754, pág. 344) e J. M. CARVALHO SANTOS ("Código Civil Brasileiro Interpretado", 2ª ed., vol. XI, pág. 252). - Nem haveria perigo de o apelado, com a duplicidade das demandas, vir a receber mais do que lhe seria devido. - Não só porque o pagamento obtido na falência seria anotado nos seus títulos (Lei Falimentar, artigo 27, parágrafo primeiro), como porque, ciente da execução coletiva, o apelante estaria atento a isso, máxime ante a faculdade, que tinha, de apresentar-se ao Juízo falimentar (Lei de Falência, artigo 29). Julgado em 18-05-1962 Revista dos Tribunais. Junho, 1963 - pág. 225. vol. 332 EMENTÁRIO FORENSE. Março, 1964. Ano XVI. Nº 184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Aplicação do artigo 27 da Lei de Falências. - O fato de o credor habilitar o seu crédito na falência do emitente do título não impede de executar o avalista.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Revista dos Tribunais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2026-07-28T00:32:13.762Z</dcterms:created>
  <dcterms:modified xsi:type="dcterms:W3CDTF">2026-07-28T00:32:13.762Z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