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03/07/1958</w:t>
      </w:r>
    </w:p>
    <w:p/>
    <w:p>
      <w:r>
        <w:t xml:space="preserve">SUA TRANSFERÊNCIA A TERCEIROS — SE IMPEDE O PEDIDO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credor por notas promissórias conserva os títulos e transmite-os a terceiros, estes podem exercer o direito inerente aos mesmos, inclusive requerer falência. É uma das conseqüências fundamentais do direito cartular a plenitude da autonomia dos quirógrafos e a segurança de sua força circulatória. - A instituição de negócios laterais, ainda que baseados nos títulos, não atingirá seu poder executivo e aqueles negócios laterais se deslindam em ação própria. - Portanto, se o endossante da promissória tornara-se, ou não, sócio da devedora e se a devedora, por sua vez, o despedira, tudo isto constitui matéria para ser esclarecida em demanda separada e com a qual nada tem a ver o agravante, regularmente investido na qualidade de titular de um crédito que vale por si mesmo, como moeda de pagamento. Se o crédito, inclusive foi descrito pela devedora, num processo de concordata, aquela não poderia ter sido homologada sem sentença, em que se pronunciasse a invalidade daquele crédito. Julgado em 04-07-1958 Diário de Justiça. Março, 1963 - pág. 223 - Ap. ao Nº 45 EMENTÁRIO FORENSE. Junho, 1963. Ano XV. Nº 175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credor que por notas promissórias conserva os títulos e transmite-os a terceiros, estes podem exercer o direito inerente aos mesmos, inclusive requerer a falência. A instituição de negócios laterais, ainda que baseados nos títulos, não atingirá sua autonomia e aqueles negócios se deslindam em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2026-10-26T03:06:40.935Z</dcterms:created>
  <dcterms:modified xsi:type="dcterms:W3CDTF">2026-10-26T03:06:40.935Z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