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08/04/1959</w:t>
      </w:r>
    </w:p>
    <w:p/>
    <w:p>
      <w:r>
        <w:t xml:space="preserve">PROCURAÇÃO EM CAUSA PRÓPRIA — EFEITOS EM RELAÇÃO À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nulidade da procuração em causa própria ressalta de toda a prova dos autos. O falido, como sabia próxima a decretação de sua falência, procurou favorecer alguns credores, entre os quais o agravante. Ao ser dada a procuração... já tinha inúmeros títulos vencidos, sendo que três deles já haviam sido levados a protesto. - É evidente o favorecimento, tanto mais que a cessão..., nos termos em que está vazada, nem se quer revela a causa da transação, parecendo significar uma diação de bens do falido ao agravante. Os livros do falido silenciam sobre o assunto, deles não constando qualquer entrega de dinheiro, como contrapartida da transação. Ora, essa alienação de bens, a título gratuito, é um dos casos que não produzem efeitos em relação à massa, tenha, ou não, o contraente conhecimento do estado econômico do devedor, seja, ou não, intenção, deste fraudar os credores. Julgado em 09-04-1959 Revista Forense. Março-Abril, 1960 - pág. 186. vol. 188 EMENTÁRIO FORENSE. Janeiro, 1961. Ano XIII. Nº 146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cessão de crédito feita por procuração em causa própria não opera contra a massa falida, quando feita a título gratuito, e pode ser declarada ineficaz independente de ação revocatória.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2026-10-26T03:24:42.336Z</dcterms:created>
  <dcterms:modified xsi:type="dcterms:W3CDTF">2026-10-26T03:24:42.336Z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