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08/04/1959</w:t>
      </w:r>
    </w:p>
    <w:p/>
    <w:p>
      <w:r>
        <w:t xml:space="preserve">PROCURAÇÃO EM CAUSA PRÓPRIA — EFEITOS EM RELAÇÃO À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nulidade da procuração em causa própria ressalta de toda a prova dos autos. O falido, como sabia próxima a decretação de sua falência, procurou favorecer alguns credores, entre os quais o agravante. Ao ser dada a procuração... já tinha inúmeros títulos vencidos, sendo que três deles já haviam sido levados a protesto. - É evidente o favorecimento, tanto mais que a cessão..., nos termos em que está vazada, nem se quer revela a causa da transação, parecendo significar uma diação de bens do falido ao agravante. Os livros do falido silenciam sobre o assunto, deles não constando qualquer entrega de dinheiro, como contrapartida da transação. Ora, essa alienação de bens, a título gratuito, é um dos casos que não produzem efeitos em relação à massa, tenha, ou não, o contraente conhecimento do estado econômico do devedor, seja, ou não, intenção, deste fraudar os credores. Julgado em 09-04-1959 Revista Forense. Março-Abril, 1960 - pág. 186. vol. 188 EMENTÁRIO FORENSE. Janeiro, 1961. Ano XIII. Nº 146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cessão de crédito feita por procuração em causa própria não opera contra a massa falida, quando feita a título gratuito, e pode ser declarada ineficaz independente de ação revocatória.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2026-07-28T00:20:55.823Z</dcterms:created>
  <dcterms:modified xsi:type="dcterms:W3CDTF">2026-07-28T00:20:55.823Z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