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Recurso: </w:t>
      </w:r>
      <w:r>
        <w:t xml:space="preserve">apelação cível 315/58</w:t>
      </w:r>
    </w:p>
    <w:p>
      <w:r>
        <w:rPr>
          <w:b/>
          <w:bCs/>
        </w:rPr>
        <w:t xml:space="preserve">Julgado em: </w:t>
      </w:r>
      <w:r>
        <w:t xml:space="preserve">23/02/1976</w:t>
      </w:r>
    </w:p>
    <w:p/>
    <w:p>
      <w:r>
        <w:t xml:space="preserve">CREDOR E DEVEDOR DO FALIDO — SUA POSIÇÃO NO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compensação, no caso, é perfeitamente viável, nos termos dos arts. 1.009 e 1.010 do CC - porque há reciprocidade de obrigações até a concorrência de seus respectivos valores. - É certo que "não se admite a compensação em prejuízo de direito de terceiros". E que o "prejuízo de terceiro se reflete sobretudo no caso de penhora ou de falência" (art. 1024 do CC). - Entende-se que a compensação em prejuízo de terceiros como diz a apelante, seria aquela "em que o devedor-credor que pretendesse compensar tivesse se tornado credor depois de penhorado o crédito em que fosse devedor em execução movida por terceiro", não é o caso, porém. - Estabelece o art. 46 da Lei de Falências: "Compensam-se as dívidas do falido vencidas até o dia da declaração da falência, provenha o vencimento da própria sentença declaratória ou da expiração do prazo estipulado". - O crédito existia anteriormente por ajuste das partes sendo depois reconhecido por sentença quando se proclamou que tanto na contabilidade da falida como na da apelante estava muito bem escriturado o crédito habilitado. Era oriundo de contrato existente entre as partes antes da falência. - Não se aplicam a esse crédito as exceções do parágrafo único daquele dispositivo porque a apelante era credora originária, não tendo sido o crédito transferido por ninguém. Nem se trata de crédito constante de título ao portador. - Se havia crédito anterior à falência, convenientemente reconhecido - não seria justo que o credor fosse obrigado a pagar integralmente o q ue deve para depois ficar à espera da liquidação de seu crédito em rateio com os demais credores. Como ensina COELHO DA ROCHA: "seria dureza, e um rodeio inútil obrigar uma pessoa a pagar a outra aquilo mesmo que tem direito a pedir-lhe" ("Instituições de Direito Comercial", WALDEMAR FERREIRA, 5/221). - As contas correntes com o falido consideram-se encerradas no momento da declaração da falência. A compensação torna-se, então, possível e com maior razão devem ser compensadas as dívidas vencidas antes de declarada a falência. Nesse sentido já decidiu este Tribunal (apelação cível nº 315/58, acórdão nº 31.920, relator Des. PACHECO JÚNIOR). - Dá-se provimento, portanto, ao recurso, para reformando-se a decisão "a quo", declarar extinto por compensação o crédito da exeqüente (em seu todo) e o da executada, este parcialmente, até a soma de Cr$ 194.079,84 valor do crédito menor (o de exeqüente). - Consequentemente, nega-se provimento ao apelo da Massa Falida. Julgado em 24-02-1976 VENCIDO O DESEMBARGADOR MARINO BRAGA Revista dos Tribunais. Novembro, 1976 - Vol. 493 - Pág. 175 EMENTÁRIO FORENSE. Agosto, 1977. Ano XXIX. Nº 345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crédito à falência, é perfeitamente viável a compensação, porque não é a habilitação de crédito que marca a sua existência e sim o ajustado entre as partes contratantes. Não seria justo, em tal caso, que o credor fosse obrigado a pagar integralmente o que deve para depois ficar à espera da liquidação do seu crédito em rateio com os demais credores.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2026-07-28T04:30:45.004Z</dcterms:created>
  <dcterms:modified xsi:type="dcterms:W3CDTF">2026-07-28T04:30:45.004Z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