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30/06/1958</w:t>
      </w:r>
    </w:p>
    <w:p/>
    <w:p>
      <w:r>
        <w:t xml:space="preserve">EXCEÇÃO AO PRINCÍPIO DA UNIVERSALIDADE DO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merece provido o presente agravo. - Fundou-se a decisão agravada na exceção que ao princípio da universalidade do Juízo da falência trás a regra do artigo 24, parágrafo segundo, II, do Decreto-lei nº 7.661, de 1945. Todavia, o que dita regra consigna é que terão prosseguimento com o Síndico as ações e execuções que antes da falência hajam iniciado: os que demandarem quantia ilíquida, coisa certa, prestação ou abstenção de fato. Ora, na hipótese, a ação foi intentada depois de decretada a falência, pelo que competente para conhecê-la é o Juízo da 2ª Vara Cível, por onde corre o processo falimentar, consoante prescreve o artigo 7º, parágrafo segundo, da Lei de Falências. Julgado em 01-07-1958 Diário de Justiça. Março, 1959 - pág. 967 - Ap. ao Nº 52 EMENTÁRIO FORENSE. Agosto, 1959. Ano XI. Nº 129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ao princípio da universalidade do Juízo da Falência contida no artigo 24, parágrafo segundo, II, do Decreto nº 7.661, de 1945, diz com as ações e execuções iniciadas antes da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2026-10-16T17:22:21.148Z</dcterms:created>
  <dcterms:modified xsi:type="dcterms:W3CDTF">2026-10-16T17:22:21.148Z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