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26/11/1951</w:t>
      </w:r>
    </w:p>
    <w:p/>
    <w:p>
      <w:r>
        <w:t xml:space="preserve">QUANDO É CABÍVEL O CHAMAMENTO A MASSA À OBRIGAÇÃO DE CUMPRI-LOS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que a falência não resolve "pleno jure" os contratos bilaterais, pois o síndico poderá chamar à massa a obrigação de cumprí-los; mas se o síndico declara, como no presente caso, que é impossível cumprir as cláusulas contratuais, forçoso se torna decretar a rescisão do contrato. - A perda do sinal e do mais já pago pela promitente compradora é a compensação das perdas e danos advindas aos promitentes vendedores; mas a condenação da massa falida no pagamento dos honorários é uma pena que não deve ser aplicada, por isso mesmo que a rescisão resultou do advento da falência. Julgado em 27-11-1951 Diário da Justiça. Abril, 1952 - pág. 1863 - Ap. ao Nº 84 EMENTÁRIO FORENSE. Julho, 1952. Ano IV. Nº 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falência não resolve "pleno jure" os contratos bilaterais ainda não executados inteiramente, e o síndico poderá chamar à massa a obrigação de cumprí-los.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2026-07-28T01:30:38.328Z</dcterms:created>
  <dcterms:modified xsi:type="dcterms:W3CDTF">2026-07-28T01:30:38.329Z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