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26/11/1951</w:t>
      </w:r>
    </w:p>
    <w:p/>
    <w:p>
      <w:r>
        <w:t xml:space="preserve">QUANDO É CABÍVEL O CHAMAMENTO A MASSA À OBRIGAÇÃO DE CUMPRI-LOS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que a falência não resolve "pleno jure" os contratos bilaterais, pois o síndico poderá chamar à massa a obrigação de cumprí-los; mas se o síndico declara, como no presente caso, que é impossível cumprir as cláusulas contratuais, forçoso se torna decretar a rescisão do contrato. - A perda do sinal e do mais já pago pela promitente compradora é a compensação das perdas e danos advindas aos promitentes vendedores; mas a condenação da massa falida no pagamento dos honorários é uma pena que não deve ser aplicada, por isso mesmo que a rescisão resultou do advento da falência. Julgado em 27-11-1951 Diário da Justiça. Abril, 1952 - pág. 1863 - Ap. ao Nº 84 EMENTÁRIO FORENSE. Julho, 1952. Ano IV. Nº 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falência não resolve "pleno jure" os contratos bilaterais ainda não executados inteiramente, e o síndico poderá chamar à massa a obrigação de cumprí-los.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2026-10-16T16:12:26.114Z</dcterms:created>
  <dcterms:modified xsi:type="dcterms:W3CDTF">2026-10-16T16:12:26.114Z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