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29/06/1961</w:t>
      </w:r>
    </w:p>
    <w:p/>
    <w:p>
      <w:r>
        <w:t xml:space="preserve">PRESTAÇÕES PARA AQUISIÇÃO DE APARTAMENTO — CARÁTER PRIVILEGIADO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A 3ª Câmara Cível do Tribunal de Justiça manteve a sentença agravada, que considerou privilegiado na falência o crédito, segundo o Código Civil, artigo 1.566, IV... porque se trata de prestações para aquisição de apartamentos em construção... - O agravante impugnou a decisão, por ser contrária à lei nº 649, de 11 de março de 1949... VOTO - Não conheço do recurso. O caso é de crédito de dinheiro para edificação, privilegiado nos termos do Decreto-lei nº 7.661, de 21 de junho de 1945, artigo 102, parágrafo segundo, I. Julgado em 30-06-1961 Diário da Justiça. Novembro, 1962 - pág. 663 - Ap. ao Nº 209 EMENTÁRIO FORENSE. Janeiro, 1963. Ano XV. Nº 170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102, parágrafo segundo, I, do Decreto-lei nº 7.661, de 21 de junho de 1945. - É privilegiado o crédito de dinheiro para edificação.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2026-07-28T03:37:09.878Z</dcterms:created>
  <dcterms:modified xsi:type="dcterms:W3CDTF">2026-07-28T03:37:09.878Z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