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CONCURSO PARTICULAR DE CREDORES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Julgado em: </w:t>
      </w:r>
      <w:r>
        <w:t xml:space="preserve">29/06/1961</w:t>
      </w:r>
    </w:p>
    <w:p/>
    <w:p>
      <w:r>
        <w:t xml:space="preserve">PRESTAÇÕES PARA AQUISIÇÃO DE APARTAMENTO — CARÁTER PRIVILEGIADO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RELATÓRIO - A 3ª Câmara Cível do Tribunal de Justiça manteve a sentença agravada, que considerou privilegiado na falência o crédito, segundo o Código Civil, artigo 1.566, IV... porque se trata de prestações para aquisição de apartamentos em construção... - O agravante impugnou a decisão, por ser contrária à lei nº 649, de 11 de março de 1949... VOTO - Não conheço do recurso. O caso é de crédito de dinheiro para edificação, privilegiado nos termos do Decreto-lei nº 7.661, de 21 de junho de 1945, artigo 102, parágrafo segundo, I. Julgado em 30-06-1961 Diário da Justiça. Novembro, 1962 - pág. 663 - Ap. ao Nº 209 EMENTÁRIO FORENSE. Janeiro, 1963. Ano XV. Nº 170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artigo 102, parágrafo segundo, I, do Decreto-lei nº 7.661, de 21 de junho de 1945. - É privilegiado o crédito de dinheiro para edificação.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2026-10-16T17:15:20.919Z</dcterms:created>
  <dcterms:modified xsi:type="dcterms:W3CDTF">2026-10-16T17:15:20.919Z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