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CONCURSO PARTICULAR DE CREDORES</w:t>
      </w:r>
    </w:p>
    <w:p/>
    <w:p>
      <w:r>
        <w:rPr>
          <w:b/>
          <w:bCs/>
        </w:rPr>
        <w:t xml:space="preserve">Julgado em: </w:t>
      </w:r>
      <w:r>
        <w:t xml:space="preserve">15/10/1951</w:t>
      </w:r>
    </w:p>
    <w:p/>
    <w:p>
      <w:r>
        <w:t xml:space="preserve">HABILITAÇÃO EM FALÊNCIA — NECESSIDADE DE SENTENÇA DA JUSTIÇA TRABALHISTA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que se discute nos autos é se o crédito do empregado, antes ainda, de reconhecido na Justiça especial, habilita seu titular a requerer a falência do empregador. - Concluiu o venerando aresto negativamente e, a essa conta, rejeita-lhe o recorrente a coima de vulnerador do art. 12 e seu parágr. 3º da Lei de Falências, do art. 136 do Código Civil brasileiro e do art. 456 da Consolidação das Leis do Trabalho. - A argüição de ofensa implícita ao artigo 136 é totalmente baldia. - Não negou o venerando aresto, em qualquer de seus lances, assim expressa que tacitamente, à carteira profissional a qualidade de instrumento público. - Apenas, entendeu não bastar a carteira à prova do crédito que habilita a requerer a falência. - Por igual, incólume ficou, através do venerando acórdão, o art. 456 da Consolidação das Leis do Trabalho, que dispõe: "A prova do contrato individual do trabalho será feita pelas anotações constantes da carteira profissional ou por instrumento escrito e suprida por todos os meios permitidos em direito". - Trata-se de prova instrumental importante, documento de qualificação civil e de habilitação profissional, título para inscrição sindical, instrumento prático de contrato individual de trabalho, (MARCONDES FILHO, in COSSERMELLI, liv. cit., pág. 119). Julgado em 16-10-1951 Revista Forense. Novembro-Dezembro, 1952 - pág. 125. vol. 144 EMENTÁRIO FORENSE. Março, 1953. Ano V. Nº 52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a sentença proferida pela justiça trabalhista, reconhecendo o crédito por salários, e não a simples qualidade de empregado que autoriza o ingresso deste em juízo, para requerer a falência do patrão.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2026-07-28T01:27:41.063Z</dcterms:created>
  <dcterms:modified xsi:type="dcterms:W3CDTF">2026-07-28T01:27:41.063Z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