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15/10/1951</w:t>
      </w:r>
    </w:p>
    <w:p/>
    <w:p>
      <w:r>
        <w:t xml:space="preserve">HABILITAÇÃO EM FALÊNCIA — NECESSIDADE DE SENTENÇA DA JUSTIÇA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discute nos autos é se o crédito do empregado, antes ainda, de reconhecido na Justiça especial, habilita seu titular a requerer a falência do empregador. - Concluiu o venerando aresto negativamente e, a essa conta, rejeita-lhe o recorrente a coima de vulnerador do art. 12 e seu parágr. 3º da Lei de Falências, do art. 136 do Código Civil brasileiro e do art. 456 da Consolidação das Leis do Trabalho. - A argüição de ofensa implícita ao artigo 136 é totalmente baldia. - Não negou o venerando aresto, em qualquer de seus lances, assim expressa que tacitamente, à carteira profissional a qualidade de instrumento público. - Apenas, entendeu não bastar a carteira à prova do crédito que habilita a requerer a falência. - Por igual, incólume ficou, através do venerando acórdão, o art. 456 da Consolidação das Leis do Trabalho, que dispõe: "A prova do contrato individual do trabalho será feita pelas anotações constantes da carteira profissional ou por instrumento escrito e suprida por todos os meios permitidos em direito". - Trata-se de prova instrumental importante, documento de qualificação civil e de habilitação profissional, título para inscrição sindical, instrumento prático de contrato individual de trabalho, (MARCONDES FILHO, in COSSERMELLI, liv. cit., pág. 119). Julgado em 16-10-1951 Revista Forense. Novembro-Dezembro, 1952 - pág. 125. vol. 144 EMENTÁRIO FORENSE. Março, 1953. Ano V. Nº 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sentença proferida pela justiça trabalhista, reconhecendo o crédito por salários, e não a simples qualidade de empregado que autoriza o ingresso deste em juízo, para requerer a falência do patrão.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2026-10-16T18:20:43.268Z</dcterms:created>
  <dcterms:modified xsi:type="dcterms:W3CDTF">2026-10-16T18:20:43.268Z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