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PROCESSO DE EXECUÇÃO</w:t>
      </w:r>
    </w:p>
    <w:p>
      <w:r>
        <w:rPr>
          <w:i/>
          <w:iCs/>
          <w:color w:val="666666"/>
        </w:rPr>
        <w:t xml:space="preserve">CONCURSO PARTICULAR DE CREDORES</w:t>
      </w:r>
    </w:p>
    <w:p/>
    <w:p>
      <w:r>
        <w:rPr>
          <w:b/>
          <w:bCs/>
        </w:rPr>
        <w:t xml:space="preserve">Julgado em: </w:t>
      </w:r>
      <w:r>
        <w:t xml:space="preserve">26/04/1972</w:t>
      </w:r>
    </w:p>
    <w:p/>
    <w:p>
      <w:r>
        <w:t xml:space="preserve">PREFERÊNCIA — CONCEITUAÇÃO EM FACE DO CÓDIGO TRIBUTÁRIO NACIONAL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síndico da agravante (massa falida) veio com embargos de terceiro, visando a elidir a penhora de depósito existente na Caixa Econômica do Estado, por deverem, antes, ser atendidos os encargos (da massa). - A agravada (Fazenda do Estado) impugnou a pretensão, e a sentença a repeliu. - Daí o presente recurso... - .................................... - Certo que, face às disposições legais vigorantes antes do Código Tributário Nacional, o embargante teria razão, como já decidiu o Tribunal de Justiça do Estado, em Acórdão por ele invocado (RT, vol. 343-247). - Mas depois da vinda daquele Código, a situação mudou, pois dito Código restringiu somente ao crédito trabalhista a preferência, ao fiscal (artigo 136), que equiparou aos encargos da massa, mas pagável preferencialmente a quaisquer outros de tais encargos (artigo 188). - Negaram provimento ao agravo. Julgado em 27-04-1972 Revista dos Tribunais. Junho, 1972 - pág. 181. vol. 440 EMENTÁRIO FORENSE. Junho, 1973. Ano XXV. Nº 295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dos artigos 186 e 188 do Código Tributário Nacional. - O Código Tributário Nacional restringiu somente ao crédito trabalhista a preferência ao fiscal (artigo 186), que equiparou aos encargos da massa, mas pagável preferencialmente a qualquer outros de tais encargos (artigo 188).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2026-07-28T01:34:54.519Z</dcterms:created>
  <dcterms:modified xsi:type="dcterms:W3CDTF">2026-07-28T01:34:54.519Z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