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IOF</w:t>
      </w:r>
    </w:p>
    <w:p>
      <w:r>
        <w:rPr>
          <w:i/>
          <w:iCs/>
          <w:color w:val="666666"/>
        </w:rPr>
        <w:t xml:space="preserve">DECRETO 3.819 DE 21-05-2001</w:t>
      </w:r>
    </w:p>
    <w:p/>
    <w:p/>
    <w:p>
      <w:r>
        <w:t xml:space="preserve">02. IMPOSTO SOBRE OPERAÇÕES DE CRÉDITO, CÂMBIO E SEGURO, OU RELATIVAS A TÍTULOS OU VALORES MOBILIÁRIOS — IOF - REGULAMENTA</w:t>
      </w:r>
    </w:p>
    <w:p/>
    <w:p>
      <w:pPr>
        <w:pStyle w:val="Heading2"/>
      </w:pPr>
      <w:r>
        <w:rPr>
          <w:b/>
          <w:bCs/>
        </w:rPr>
        <w:t xml:space="preserve">Ementa</w:t>
      </w:r>
    </w:p>
    <w:p>
      <w:r>
        <w:t xml:space="preserve">TÍTULO III DA INCIDÊNCIA SOBRE OPERAÇÕES DE CÂMBIO CAPÍTULO I DO FATO GERADOR Art. 11. O fato gerador do IOF é a entrega de moeda nacional ou estrangeira, ou de documento que a represente, ou sua colocação à disposição do interessado, em montante equivalente à moeda estrangeira ou nacional entregue ou posta à disposição por este (Lei nº 5.172, de 1966, art. 63, inciso II). Parágrafo único. Ocorre o fato gerador e torna-se devido o IOF no ato da liquidação da operação de câmbio. CAPÍTULO II DOS CONTRIBUINTES E DOS RESPONSÁVEIS Dos Contribuintes Art. 12. São contribuintes do IOF os compradores ou vendedores de moeda estrangeira nas operações referentes às transferências financeiras para o ou do exterior, respectivamente, compreendendo as operações de câmbio manual (Lei nº 8.894, de 1994, art. 6º). § 1º As transferências financeiras compreendem os pagamentos e recebimentos em moeda estrangeira, independentemente da forma de entrega e da natureza das operações. Dos Responsáveis § 2º São responsáveis pela cobrança do IOF e pelo seu recolhimento ao Tesouro Nacional as instituições autorizadas a operar em câmbio (Lei nº 8.894, de 1994, art. 6º, parágrafo único). CAPÍTULO III DA BASE DE CÁLCULO E DA ALÍQUOTA Da Base de Cálculo Art. 13. A base de cálculo do IOF é o montante em moeda nacional, recebido, entregue ou posto à disposição, correspondente ao valor, em moeda estrangeira, da operação de câmbio (Lei nº 5.172, de 1966, art. 64, inciso II). § 1º As bonificações eventualmente pactuadas integram a base de cálculo. § 2º Na operação de câmbio destinada à liquidação de compromisso oriundo de financiamento à importação, a base de cálculo será constituída apenas das parcelas de capital. § 3º Na operação de câmbio relativa ao pagamento de importação que englobe v alor de comissão devida a agente, no País, a base de cálculo será: I - a parcela efetivamente remetida ao exterior, quando o valor da comissão for pago ao agente, no País, em "conta gráfica"; II - o valor efetivamente aplicado na liquidação do contrato de câmbio, deduzida a parcela correspondente à comissão que, prévia e comprovadamente, tenha sido paga ao agente, no País, mediante transferência do exterior. Da Alíquota Art. 14. A alíquota do IOF é de vinte e cinco por cento (Lei nº 8.894, de 1994, art. 5º). § 1º A alíquota do IOF fica reduzida para os percentuais abaixo enumerados: I - nas operações de câmbio destinadas ao cumprimento de obrigações de administradoras de cartão de crédito ou de bancos comerciais ou múltiplos na qualidade de emissores de cartão de crédito decorrentes de aquisição de bens e serviços do exterior efetuada por seus usuários, observado o disposto no inciso III: dois por cento; II - sobre o valor ingressado no País decorrente de ou destinado a empréstimos em moeda com os prazos médios mínimos de até noventa dias: cinco por cento; III - nas demais operações de câmbio, inclusive nas destinadas ao cumprimento de obrigações de administradoras de cartão de crédito ou de bancos comerciais ou múltiplos na qualidade de emissores de cartão de crédito decorrentes de aquisição de bens e serviços do exterior quando forem usuários do cartão a União, Estados, Municípios, Distrito Federal, suas fundações e autarquias: zero. § 2º No caso de operações de empréstimo em moeda via lançamento de títulos, com cláusula de antecipação de vencimento, parcial ou total, pelo credor ou pelo devedor (put/call), a primeira data prevista de exercício definirá a incidência do imposto prevista no inciso II. § 3º O Ministro de Estado da Fazenda, tendo em vista os objetivos das políticas monetária, fiscal e cambial, poderá estabelecer alíquotas diferenci adas para as hipóteses de incidência de que trata este Título (Lei nº 8.894, de 1994, art. 5º, parágrafo único). Art. 15. Quando houver descumprimento ou falta de comprovação do cumprimento de condições, total ou parcial, de operações tributadas à alíquota zero ou reduzida, o contribuinte ficará sujeito ao pagamento do IOF, calculado à alíquota normal para a operação, acrescido de juros moratórios e multa, sem prejuízo das penalidades previstas no art. 23 da Lei nº 4.131, de 3 de setembro de 1962, e no art. 72 da Lei nº 9.069, de 29 de junho de 1995. CAPÍTULO IV DA ISENÇÃO E DA REDUÇÃO DO IOF Da Isenção Art. 16. É isenta do IOF a operação de câmbio: I - realizada para pagamento de bens importados (Decreto-Lei nº 2.434, de 19 de maio de 1988, art. 6º, e Lei nº 8.402, de 1992, art. 1º, inciso XIII); II - em que o comprador ou o 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2026-06-17T14:09:15.288Z</dcterms:created>
  <dcterms:modified xsi:type="dcterms:W3CDTF">2026-06-17T14:09:15.288Z</dcterms:modified>
</cp:coreProperties>
</file>

<file path=docProps/custom.xml><?xml version="1.0" encoding="utf-8"?>
<Properties xmlns="http://schemas.openxmlformats.org/officeDocument/2006/custom-properties" xmlns:vt="http://schemas.openxmlformats.org/officeDocument/2006/docPropsVTypes"/>
</file>