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IOF</w:t>
      </w:r>
    </w:p>
    <w:p>
      <w:r>
        <w:rPr>
          <w:i/>
          <w:iCs/>
          <w:color w:val="666666"/>
        </w:rPr>
        <w:t xml:space="preserve">DECRETO 3.819 DE 21-05-2001</w:t>
      </w:r>
    </w:p>
    <w:p/>
    <w:p/>
    <w:p>
      <w:r>
        <w:t xml:space="preserve">04. IMPOSTO SOBRE OPERAÇÕES DE CRÉDITO, CÂMBIO E SEGURO, OU RELATIVAS A TÍTULOS OU VALORES MOBILIÁRIOS — IOF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VII DAS DISPOSIÇÕES GERAIS E FINAIS CAPÍTULO I DAS OBRIGAÇÕES ACESSÓRIAS Manutenção de Informações Art. 43. As pessoas jurídicas que efetuarem operações sujeitas à incidência do IOF devem manter à disposição da fiscalização, pelo prazo prescricional, as seguintes informações: I - relação diária das operações tributadas, com elementos identificadores da operação (beneficiário, espécie, valor e prazo) e o somatório diário do tributo; II - relação diária das operações isentas ou tributadas à alíquota zero, com elementos identificadores da operação (beneficiário, espécie, valor e prazo); III - relação mensal dos empréstimos em conta, inclusive excessos de limite, de prazo de até trezentos e sessenta e quatro dias, tributados com base no somatório dos saldos devedores diários, apurado no último dia de cada mês, contendo nome do beneficiário, somatório e valor do IOF cobrado; IV - relação mensal dos adiantamentos a depositantes, contendo nome do devedor, valor e data de cada parcela tributada e valor do IOF cobrado; V - relação mensal dos excessos de limite, relativos aos contratos com prazo igual ou superior a trezentos e sessenta e cinco dias ou com prazo indeterminado, contendo nome do mutuário, limite, valor dos excessos tributados e datas das ocorrências. Parágrafo único. Além das exigências previstas nos incisos I e II, as seguradoras deverão manter arquivadas as informações que instruírem a cobrança bancária. Art. 44. Serão efetuados de forma centralizada pelo estabelecimento-matriz da pessoa jurídica os recolhimentos do imposto, ressalvado o disposto nos §§ 2º e 3º do art. 42. Parágrafo único. O estabelecimento-matriz deverá manter registros que segreguem as operações de cada estabelecimento cobrador e que permitam demonstrar, com clareza, cada recolhimento efetuado. Registro Contábil do Imposto Art. 45. Nas pessoas jurídicas responsáveis pela cobrança e pelo recolhimento, o IOF cobrado é creditado em título contábil próprio e subtítulos adequados à natureza de cada incidência do imposto. Art. 46. A conta que registra a cobrança do IOF é debitada somente: I - no estabelecimento cobrador, pela transferência para o estabelecimento centralizador do recolhimento do imposto; II - no estabelecimento centralizador do imposto, pelo recolhimento ao Tesouro Nacional do valor arrecadado, observados os prazos regulamentares; III - por estorno, até a data do recolhimento ao Tesouro Nacional, de registro de qualquer natureza feito indevidamente no período, ficando a documentação comprobatória arquivada no estabelecimento que o processar, à disposição da fiscalização. Obrigações do Responsável Art. 47. Para efeito de reconhecimento da aplicabilidade de isenção ou alíquota reduzida, cabe ao responsável pela cobrança e recolhimento do IOF exigir, no ato da realização das operações: I - no caso de cooperativa, declaração, em duas vias, por ela firmada de que atende aos requisitos da legislação cooperativista (Lei nº 5.764, de 16 de dezembro de 1971); II - no caso de empresas optantes pelo Simples, o mutuário da operação de crédito deverá apresentar à pessoa jurídica mutuante declaração, em duas vias, de que se enquadra como pessoa jurídica sujeita ao regime tributário de que trata a Lei nº 9.317, de 1996, e que o signatário é seu representante legal e está ciente de que a falsidade na prestação desta informação o sujeitará, juntamente com as demais pessoas que para ela concorrem, às penalidades previstas na legislação criminal e tributária, relativas à falsidade ideológica (art. 299 do Código Penal) e ao crime contra a ordem tributária (Lei nº 8.137, de 27 de dezembro de 1990, art. 1º ); III - nos demais casos, a documentação exigida pela legislaç ão específica. Parágrafo único. Nas hipóteses dos incisos I e II, o responsável pela cobrança do IOF arquivará a 1ª via da declaração, em ordem alfabética, que ficará à disposição da Secretaria da Receita Federal, devendo a 2ª via ser devolvida como recibo. Ouro - Documentário Fiscal Art. 48. As operações com ouro, ativo financeiro ou instrumento cambial, e a sua destinação, devem ser comprovadas mediante documentário fiscal instituído pela Secretaria da Receita Federal (Lei nº 7.766, de 1989, art. 3º). Parágrafo único. O transporte do ouro, ativo financeiro, para qualquer parte do território nacional, será acobertado exclusivamente por nota fiscal integrante da documentação mencionada (Lei nº 7.766, de 1989, art. 3º, § 1º). CAPÍTULO II DAS PENALIDADES E ACRÉSCIMOS MORATÓRIOS Do pag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2026-06-17T14:18:42.207Z</dcterms:created>
  <dcterms:modified xsi:type="dcterms:W3CDTF">2026-06-17T14:18:42.207Z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