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ADMINISTRATIVO</w:t>
      </w:r>
    </w:p>
    <w:p>
      <w:r>
        <w:rPr>
          <w:i/>
          <w:iCs/>
          <w:color w:val="666666"/>
        </w:rPr>
        <w:t xml:space="preserve">DECRETO 4.395 DE 27-09-2002</w:t>
      </w:r>
    </w:p>
    <w:p/>
    <w:p/>
    <w:p>
      <w:r>
        <w:t xml:space="preserve">ARTS. 2º E 6º DO DECRETO 4.300 DE 12-07-2002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4.537, DE 20 DE DEZEMBRO DE 2002 Dá nova redação aos arts. 2º e 6º do Decreto nº 4.300, de 12 de julho de 2002. O PRESIDENTE DA REPÚBLICA, no uso das atribuições que lhe confere o art. 84, incisos IV e VI, alínea "a", da Constituição, DECRETA: Art. 1º Os arts. 2º e 6º do Decreto nº 4.300, de 12 de julho de 2002, passam a vigorar com a seguinte redação: "Art. 2º ......................................................................................... § 1º A renovação do Presidente da Comissão de Valores Mobiliários dar-se-á no dia 15 de julho, e a dos Diretores no mesmo dia e mês da edição do primeiro decreto que, observado o regime instituído pela Lei nº 10.411, de 26 de fevereiro de 2002, nomear diretor da Comissão de Valores Mobiliários cuja indicação tenha sido aprovada pelo Senado Federal. ........................................................................................."(NR) "Art. 6º O decreto de nomeação de Diretor da Comissão de Valores Mobiliários estabelecerá, observado o disposto no art. 2º da Lei nº 10.411, de 26 de fevereiro de 2002, o prazo do respectivo mandato." (NR) Art. 2º Este Decreto entra em vigor na data de sua publicação. Brasília, 20 de dezembro de 2002; 181º da Independência e 114º da República. FERNANDO HENRIQUE CARDOSO Pedro Malan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2026-10-26T03:23:37.457Z</dcterms:created>
  <dcterms:modified xsi:type="dcterms:W3CDTF">2026-10-26T03:23:37.457Z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