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/>
    <w:p>
      <w:r>
        <w:t xml:space="preserve">17. ADMINISTRAÇÃO DAS ATIVIDADES ADUANEIRAS, FISCALIZAÇÃO, CONTROLE E TRIBUTAÇÃO DAS OPERAÇÕES DE COMÉRCIO EXTERIOR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DO DESPACHO DE EXPORTAÇÃO Seção I Das Disposições Preliminares Art. 519. Despacho de exportação é o procedimento mediante o qual é verificada a exatidão dos dados declarados pelo exportador em relação à mercadoria, aos documentos apresentados e à legislação específica, com vistas a seu desembaraço aduaneiro e a sua saída para o exterior. Art. 520. Toda mercadoria destinada ao exterior, inclusive a reexportada, está sujeita a despacho de exportação, com as exceções estabelecidas na legislação específica. Parágrafo único. A mercadoria a ser devolvida ao exterior antes de submetida a despacho de importação poderá ser dispensada do despacho de exportação, conforme disposto em ato complementar editado pela Secretaria da Receita Federal. Art. 521. Será dispensada de despacho de exportação a saída, do País, de mala diplomática ou consular, observado o disposto no art. 500 (Convenção de Viena sobre Relações Diplomáticas, Art. 27, promulgada pelo Decreto no 56.435, de 1965, e Convenção de Viena sobre Relações Consulares, Art. 35, promulgada pelo Decreto no 61.078, de 1967). Art. 522. O despacho de exportação de urna funerária será realizado em caráter prioritário e mediante rito sumário, antes de sua saída para o exterior, com base no respectivo conhecimento de carga ou em documento de efeito equivalente, observado, ainda, o disposto no parágrafo único do art. 488. Seção II Do Registro de Exportação Art. 523. O registro de exportação compreende o conjunto de informações de natureza comercial, financeira, cambial e fiscal que caracteriza a operação de exportação de uma mercadoria e define o seu enquadramento, devendo ser efetuado de acordo com o estabelecido pela Secretaria de Comércio Exterior. Art. 524. O registro de exportação, no Siscomex, nos casos previstos pela Secretaria de Comércio Exterior, é requisito essencial para o despacho de exportação de mercadorias nacionais ou nacionalizadas, ou de reexportação. Seção I II Da Declaração de Exportação Art. 525. O documento base do despacho de exportação é a declaração de exportação. Parágrafo único. A Secretaria da Receita Federal poderá estabelecer diferentes tipos e formas de apresentação de declaração de exportação, apropriados à natureza dos despachos, ou a situações específicas em relação à mercadoria ou a seu tratamento tributário. Art. 526. A retificação da declaração de exportação, mediante alteração das informações prestadas, ou a inclusão de outras, será feita pela autoridade aduaneira, de ofício ou a requerimento do exportador, na forma estabelecida pela Secretaria da Receita Federal. Seção IV Da Instrução da Declaração de Exportação Art. 527. A declaração de exportação será instruída com: I - a primeira via da nota fiscal; II - a via original do conhecimento e do manifesto internacional de carga, nas exportações por via terrestre, fluvial ou lacustre; e III - outros documentos exigidos na legislação específica. Parágrafo único. Os documentos instrutivos da declaração de exportação serão entregues à autoridade aduaneira, na forma, no prazo e nas condições estabelecidos pela Secretaria da Receita Federal. Seção V Da Conferência Aduaneira Art. 528. A conferência aduaneira na exportação tem por finalidade identificar o exportador, verificar a mercadoria e a correção das informações relativas a sua natureza, classificação fiscal, quantificação e preço, e confirmar o cumprimento de todas as obrigações, fiscais e outras, exigíveis em razão da exportação. Art. 529. A verificação da mercadoria, no curso da conferência aduaneira ou em qualquer outra ocasião, será realizada na presença do exportador ou de seu representante (Decreto-lei no 37, de 1966, art. 50, com a redação dada pelo Decreto-lei no 2.472, de 1988, art. 2o). Seção VI Do Desembaraço Aduaneiro e da Averbação do Embarque Art. 530. Desembaraço aduaneiro na exportação é o ato pelo qual é registrada a conclusão da co nferência aduaneira, e autorizado o embarque ou a transposição de fronteira da mercadoria. Parágrafo único. Constatada divergência ou infração que não impeça a saída da mercadoria do País, o desembaraço será realizado, sem prejuízo da formalização de exigências, desde que assegurados os meios de prova necessários. Art. 531. A mercadoria a ser reexportada somente será desembaraçada após o pagamento das multas a que estiver sujeita (Decreto-lei no 37, de 1966, art. 71, § 6o, com a redação dada pelo Decreto-lei no 2.472, de 1988, art. 1o). Art. 532. A averbação do embarque consiste na confirma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2026-10-26T02:21:08.091Z</dcterms:created>
  <dcterms:modified xsi:type="dcterms:W3CDTF">2026-10-26T02:21:08.091Z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