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LEI 5.524 DE 05-11-1968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25/04/1963</w:t>
      </w:r>
    </w:p>
    <w:p/>
    <w:p>
      <w:r>
        <w:t xml:space="preserve">SEMELHANÇA COM MARCA REGISTRADA EM PAÍS SIGNATÁRIO DA CONVENÇÃO DE PARIS — AÇÃO ANULATÓRIA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cabível, na espécie, o recurso de apelação, como, aliás, o assinalou procedentemente o douto despacho do MM Juiz prolator da sentença recorrida. - Cabe nessa classe de recursos, vale dizer, - a apelação, - o interposto da sentença proferida pelos Juízes locais, fundada em tratado ou contrato da União com Estado estrangeiro (artigo 101, II, letra "b", da Constituição Federal). - Assim o tem admitido a Corte Suprema, sem vacilação, em hipóteses que guardam tal peculiaridade. - ..................................... - No mérito, confirmo a sentença apelada, na parte em que, julgando procedentes a ação, contra a ré, primeira apelante, reconhece que se não pode negar notoriedade ao nome da autora, mundialmente conhecida (Decreto nº 19.056, de 31-12-1929, artigo 6º BIS). - Reporto-me à fundamentação da sentença... que, sobre deixar bem claro o requisito de notoriedade da marca ou do nome, põe de manifesto, em consequência, que ela se inclui na mesma classe que constitui o mesmo ramo de negócio do estabelecimento da autora como da firma ré, primeira apelante. - Rejeito, também, de acordo com o motivação da sentença, a alegação de caducidade do pedido de registro da autora..., cabendo, de consequente, a anulação do registro do título do estabelecimento da primeira ré, ora primeira apelante. - Por último, deixo de conceder a indenização pedida pela autora, segunda apelante, ainda de acordo com os doutos fundamentos da decisão recorrida, que, reformo, apenas, na parte excludente da verba honorária, para concedê-la, na base de 20%, em que fica condenada a primeira ré, primeira apelante, tomando-se por base o valor dado à ação, na inicial... Julgado em 26-04-1963 Diário da Justiça. Setembro, 1963 - pág. 882 - Ap. ao Nº 177 EMENTÁRIO FORENSE. Janeiro, 1964. Ano XVI. Nº 182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Decreto nº 19.056, de 31 de dezembro de 1929, artigo 6-BIS. - Se o título de estabelecimento registrado no Brasil se refere à mesma classe de marca já registrada em país signatário da Convenção de Paris, procede a ação anulatória de registro proposta pelos proprietários desta última, aliás, mundialmente conhecida.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2026-09-10T23:36:45.047Z</dcterms:created>
  <dcterms:modified xsi:type="dcterms:W3CDTF">2026-09-10T23:36:45.047Z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