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LEI 5.524 DE 05-11-1968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25/04/1963</w:t>
      </w:r>
    </w:p>
    <w:p/>
    <w:p>
      <w:r>
        <w:t xml:space="preserve">SEMELHANÇA COM MARCA REGISTRADA EM PAÍS SIGNATÁRIO DA CONVENÇÃO DE PARIS — AÇÃO ANULATÓRIA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cabível, na espécie, o recurso de apelação, como, aliás, o assinalou procedentemente o douto despacho do MM Juiz prolator da sentença recorrida. - Cabe nessa classe de recursos, vale dizer, - a apelação, - o interposto da sentença proferida pelos Juízes locais, fundada em tratado ou contrato da União com Estado estrangeiro (artigo 101, II, letra "b", da Constituição Federal). - Assim o tem admitido a Corte Suprema, sem vacilação, em hipóteses que guardam tal peculiaridade. - ..................................... - No mérito, confirmo a sentença apelada, na parte em que, julgando procedentes a ação, contra a ré, primeira apelante, reconhece que se não pode negar notoriedade ao nome da autora, mundialmente conhecida (Decreto nº 19.056, de 31-12-1929, artigo 6º BIS). - Reporto-me à fundamentação da sentença... que, sobre deixar bem claro o requisito de notoriedade da marca ou do nome, põe de manifesto, em consequência, que ela se inclui na mesma classe que constitui o mesmo ramo de negócio do estabelecimento da autora como da firma ré, primeira apelante. - Rejeito, também, de acordo com o motivação da sentença, a alegação de caducidade do pedido de registro da autora..., cabendo, de consequente, a anulação do registro do título do estabelecimento da primeira ré, ora primeira apelante. - Por último, deixo de conceder a indenização pedida pela autora, segunda apelante, ainda de acordo com os doutos fundamentos da decisão recorrida, que, reformo, apenas, na parte excludente da verba honorária, para concedê-la, na base de 20%, em que fica condenada a primeira ré, primeira apelante, tomando-se por base o valor dado à ação, na inicial... Julgado em 26-04-1963 Diário da Justiça. Setembro, 1963 - pág. 882 - Ap. ao Nº 177 EMENTÁRIO FORENSE. Janeiro, 1964. Ano XVI. Nº 182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Decreto nº 19.056, de 31 de dezembro de 1929, artigo 6-BIS. - Se o título de estabelecimento registrado no Brasil se refere à mesma classe de marca já registrada em país signatário da Convenção de Paris, procede a ação anulatória de registro proposta pelos proprietários desta última, aliás, mundialmente conhecida.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2026-10-26T04:40:53.703Z</dcterms:created>
  <dcterms:modified xsi:type="dcterms:W3CDTF">2026-10-26T04:40:53.703Z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