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Relator: </w:t>
      </w:r>
      <w:r>
        <w:t xml:space="preserve">OTTO ROCHA</w:t>
      </w:r>
    </w:p>
    <w:p/>
    <w:p>
      <w:r>
        <w:t xml:space="preserve">CONEXÃO — QUANDO DEVE OCORRER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caso dos autos é de conexão. Procura-se com a presente ação reivindicatória ser imitido na posse de imóveis adquiridos de uma firma de engenharia. A origem da aquisição de referidos imóveis por esta firma está sendo discutida na 1ª Vara da Fazenda Pública. Sem dúvida que a decisão de mérito desta ação intervirá na decisão desta ação reivindicatória. Se for anulada a escritura de compra e venda do apelado. Por isto aconselhável é a conexão. Veja: "Reputam-se conexas duas ações propostas contra réus diversos, se a decisão de mérito, em relação a um deles, influir na esfera patrimonial do outro (DJU 2-5-86, pág. 6.942, CJ, 6.509-RJ, Rel. Min. OTTO ROCHA)". - Isto posto, entendo que a conexão dos processos deve ocorrer. Assim, anulo a r. sentença monocrática determinando que os autos sejam remetidos à 1ª Vara da Fazenda Pública. Ac. de 01-10-1992 Jurisprudência Mineira - Outubro a Dezembro de 1992 - Vol. 120 - Pág. 207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ocorrer a conexão dos processos relativos às ações anulatória e reivindicatória, pois são consideradas conexas duas ações propostas contra réus diversos, se a decisão de mérito, em relação a um deles, vier a influir no âmbito patrimonial do outro.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2026-07-27T23:30:00.236Z</dcterms:created>
  <dcterms:modified xsi:type="dcterms:W3CDTF">2026-07-27T23:30:00.236Z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