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6.929</w:t>
      </w:r>
    </w:p>
    <w:p>
      <w:r>
        <w:rPr>
          <w:b/>
          <w:bCs/>
        </w:rPr>
        <w:t xml:space="preserve">Julgado em: </w:t>
      </w:r>
      <w:r>
        <w:t xml:space="preserve">29/02/1968</w:t>
      </w:r>
    </w:p>
    <w:p/>
    <w:p>
      <w:r>
        <w:t xml:space="preserve">ARGUIÇÃO EM DEFESA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dou-lhe provimento para anular a sentença, e outra profira o juiz, afastada e prejudicial de não apreciação da validade da patente. A causa deverá ser julgada como for de direito, apreciando-se a validade da patente, com os recursos cabíveis. - A propósito decidira a Primeira Turma do Supremo Tribunal no citado RE 6.929: "Assim como se facultou ao Juiz Criminal conhecer, na defesa do infrator, de matéria relativa à validade da patente sem importar na anulação formal desta, também se deverá reconhecer a mesma faculdade ao Juiz Cível, embora ambos de natureza local e protegidos pelas mesmas garantias (Revista Forense, 152-332, Ac. un. da Primeira Turma no RE 6.929 do Distrito Federal, em 17.05.1953, relator Ministro PHILADELPHO AZEVEDO"). - E o Tribunal de Justiça de São Paulo (Revista dos Tribunais 285.213). - A recorrente invoca, no mesmo sentido, a opinião de WALDEMAR FERREIRA, Instituição de Direito Comercial, 1952, vol. II, nº 567-572). - E, ainda a opinião de conhecido especialista, GAMA CERQUEIRA, Tratado de Propriedade Industrial, tomo I, vol. II, pág. 278 e 369-70). Julgado em 01-03-1968 Revista Trimestral de Jurisprudência. Maio, 1968 - Pág. 465 - Vol. 44 EMENTÁRIO FORENSE. Outubro, 1968. Ano XX. Nº 239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nulidade da patente pode ser examinada em defesa, invocada pelo réu, na ação cominatória, por suposta contrafação. Não é necessário que seja a patente anulada, em ação própria.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2026-07-28T00:32:22.425Z</dcterms:created>
  <dcterms:modified xsi:type="dcterms:W3CDTF">2026-07-28T00:32:22.425Z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