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6.929</w:t>
      </w:r>
    </w:p>
    <w:p>
      <w:r>
        <w:rPr>
          <w:b/>
          <w:bCs/>
        </w:rPr>
        <w:t xml:space="preserve">Julgado em: </w:t>
      </w:r>
      <w:r>
        <w:t xml:space="preserve">29/02/1968</w:t>
      </w:r>
    </w:p>
    <w:p/>
    <w:p>
      <w:r>
        <w:t xml:space="preserve">ARGUIÇÃO EM DEFESA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dou-lhe provimento para anular a sentença, e outra profira o juiz, afastada e prejudicial de não apreciação da validade da patente. A causa deverá ser julgada como for de direito, apreciando-se a validade da patente, com os recursos cabíveis. - A propósito decidira a Primeira Turma do Supremo Tribunal no citado RE 6.929: "Assim como se facultou ao Juiz Criminal conhecer, na defesa do infrator, de matéria relativa à validade da patente sem importar na anulação formal desta, também se deverá reconhecer a mesma faculdade ao Juiz Cível, embora ambos de natureza local e protegidos pelas mesmas garantias (Revista Forense, 152-332, Ac. un. da Primeira Turma no RE 6.929 do Distrito Federal, em 17.05.1953, relator Ministro PHILADELPHO AZEVEDO"). - E o Tribunal de Justiça de São Paulo (Revista dos Tribunais 285.213). - A recorrente invoca, no mesmo sentido, a opinião de WALDEMAR FERREIRA, Instituição de Direito Comercial, 1952, vol. II, nº 567-572). - E, ainda a opinião de conhecido especialista, GAMA CERQUEIRA, Tratado de Propriedade Industrial, tomo I, vol. II, pág. 278 e 369-70). Julgado em 01-03-1968 Revista Trimestral de Jurisprudência. Maio, 1968 - Pág. 465 - Vol. 44 EMENTÁRIO FORENSE. Outubro, 1968. Ano XX. Nº 239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da patente pode ser examinada em defesa, invocada pelo réu, na ação cominatória, por suposta contrafação. Não é necessário que seja a patente anulada, em ação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2026-10-26T03:26:22.289Z</dcterms:created>
  <dcterms:modified xsi:type="dcterms:W3CDTF">2026-10-26T03:26:22.289Z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