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recurso extraordinário 24.364</w:t>
      </w:r>
    </w:p>
    <w:p>
      <w:r>
        <w:rPr>
          <w:b/>
          <w:bCs/>
        </w:rPr>
        <w:t xml:space="preserve">Julgado em: </w:t>
      </w:r>
      <w:r>
        <w:t xml:space="preserve">16/12/1959</w:t>
      </w:r>
    </w:p>
    <w:p/>
    <w:p>
      <w:r>
        <w:t xml:space="preserve">POSSIBILIDADE DE CONFUSÃO — HOMOFONIA - SE BASTA A EVITÁ-LA A DIFERENCIAÇÃO DO EMBLEMA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preliminarmente do recurso por ambos os seus fundamentos legais e lhe dou provimento. Em verdade, o acórdão recorrido diverge da jurisprudência assentada por este Egrégio Supremo Tribunal Federal. - Entendeu o decisório "sub censure" que não haveria possibilidade de confundir-se as marcas em questão, porque os emblemas que as envolvem são diversos. - Mas, na realidade, não é possível descurar das expressões verbais e homofônicas das marcas como motivos de colidência. - A parte emblemática não é perfeitamente notada e retida pelo consumidor, que se detém em regra sobre os seus característicos verbais e fônicos. - Quanto à homofonia, é manifesta a possibilidade de confusão, entre Linha Marte e Linharte. - E a própria grafia as aproxima perigosamente. - E este Egrégio Supremo Tribunal Federal no recurso extraordinário nº 24.364, do Distrito Federal, citado pelo recorrente, já acentou que "a tendência geral no sentido de sintetizar nomes e títulos desfigurando aparentemente o conjunto, para utilizar-se unicamente da denominação verbal." - Tenho para mim vulnerado o inciso 17 do artigo 95 do Código de Propriedade Industrial, que não admite o registro de marcas imitadas que induza o comprador em erro ou confusão, considerando-se existente aquele possibilidade sempre que as diferenças entre as marcas não se evidenciam de seu exame ou confrontação. Julgado em 17-12-1959 Diário da Justiça. Agosto, 1962 - pág. 299 - Ap. ao Nº 141 EMENTÁRIO FORENSE. Outubro, 1962. Ano XIV. Nº 167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artigo 95, nº XVII, do Código de Propriedade Industrial. - Para que seja possível a confusão entre duas marcas, basta que as suas expressões verbais sejam homofônicas, nada importando a diversidade dos emblemas.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2026-07-28T02:33:33.634Z</dcterms:created>
  <dcterms:modified xsi:type="dcterms:W3CDTF">2026-07-28T02:33:33.634Z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