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25/01/1962</w:t>
      </w:r>
    </w:p>
    <w:p/>
    <w:p>
      <w:r>
        <w:t xml:space="preserve">IMPOSSIBILIDADE DE SER O COMPRADOR INDUZIDO A ERRO OU CONFUSÃO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Recebo os embargos, porque a marca destinada a assinalar vinagre, produto incluído na classe 41 (Substâncias alimentícias e seus preparados. Ingredientes de alimentos. Essências alimentícias) do Quadro II, a que se refere o artigo 211 do Código da Propriedade Industrial, não pode induzir, nos termos do Decreto-lei nº 7.903, artigo 95, 17º, o comprador em erro ou confusão com marca registrada para artigos das classes 42 (Bebidas alcoólicas e fermentadas) e 48 (Refrescos e águas naturais e artificiais, usadas como bebidas). Julgado em 26-01-1962 Diário da Justiça. Novembro, 1963 - pág. 1.148 - Ap. ao Nº 216 N. da R.: Refere-se o acórdão, à marca "Palhinha". EMENTÁRIO FORENSE. Fevereiro, 1964. Ano XVI. Nº 183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marca destinada a assinalar vinagre, não pode induzir o comprador em erro ou confusão com marca registrada para bebidas alcoólicas e fermentadas, ou para refrescos e águas natural se artificiais, usadas como bebidas.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2026-07-27T23:29:01.129Z</dcterms:created>
  <dcterms:modified xsi:type="dcterms:W3CDTF">2026-07-27T23:29:01.129Z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