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25/01/1962</w:t>
      </w:r>
    </w:p>
    <w:p/>
    <w:p>
      <w:r>
        <w:t xml:space="preserve">IMPOSSIBILIDADE DE SER O COMPRADOR INDUZIDO A ERRO OU CONFUSÃO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Recebo os embargos, porque a marca destinada a assinalar vinagre, produto incluído na classe 41 (Substâncias alimentícias e seus preparados. Ingredientes de alimentos. Essências alimentícias) do Quadro II, a que se refere o artigo 211 do Código da Propriedade Industrial, não pode induzir, nos termos do Decreto-lei nº 7.903, artigo 95, 17º, o comprador em erro ou confusão com marca registrada para artigos das classes 42 (Bebidas alcoólicas e fermentadas) e 48 (Refrescos e águas naturais e artificiais, usadas como bebidas). Julgado em 26-01-1962 Diário da Justiça. Novembro, 1963 - pág. 1.148 - Ap. ao Nº 216 N. da R.: Refere-se o acórdão, à marca "Palhinha". EMENTÁRIO FORENSE. Fevereiro, 1964. Ano XVI. Nº 183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marca destinada a assinalar vinagre, não pode induzir o comprador em erro ou confusão com marca registrada para bebidas alcoólicas e fermentadas, ou para refrescos e águas natural se artificiais, usadas como bebidas.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2026-10-26T01:56:28.266Z</dcterms:created>
  <dcterms:modified xsi:type="dcterms:W3CDTF">2026-10-26T01:56:28.266Z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