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04/04/1963</w:t>
      </w:r>
    </w:p>
    <w:p/>
    <w:p>
      <w:r>
        <w:t xml:space="preserve">"BORBONHA" E "BORGONHA" — HIPÓTESE CARACTERIZADA EM SE TRATANDO DE VINHOS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dos recursos por se haver contrariado o disposto na Lei nº 549, artigo 2º, parágrafo terceiro, e no Decreto-lei nº 7.903, artigo 101, e lhes dou provimento. - A marca "Borbonha" destina-se a fraudar a lei que não permite a marca "Borgonha" para designar produto vinícola oriundo de nosso País (Decreto-lei nº 7.903, artigos 101 e 102, 1º). A Lei nº 549, artigo 2º, parágrafo terceiro dispõe: "Nas marcas de vinho não serão permitidas indicações de origem geográfica que não corresponda com a verdadeira origem da produção das uvas ou dos vinhos". Julgado em 05-04-1963 Diário da Justiça. Junho, 1963 - pág. 423 - Ap. ao Nº 114 EMENTÁRIO FORENSE. Agosto, 1963. Ano XV. Nº 177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marca "Borbonha" destina-se a fraudar a lei, que não permite se designe por "Borgonha" vinho produzido em nosso País.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2026-07-27T23:58:11.996Z</dcterms:created>
  <dcterms:modified xsi:type="dcterms:W3CDTF">2026-07-27T23:58:11.996Z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