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22/03/1956</w:t>
      </w:r>
    </w:p>
    <w:p/>
    <w:p>
      <w:r>
        <w:t xml:space="preserve">CONTRAFAÇÃO DE NOME COMERCIAL E DE MARCA DE FÁBRICA — COMPETÊNCIA DO FORO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dúvida de que o artigo 147 do Código de Processo Civil estabelece fôro especial para as ações de "nulidade" de privilégio de invenção ou marca de industria e comércio, hipótese em que indiscutível se apresenta o interesse da União, por constituir objetivo precípuo dessa ação a declaração de nulidade de ato emanado do próprio Governo Federal. Nesse caso, a intervenção da União é evidentemente obrigatória e a regra do fôro especial não pode ser desprezada. - Mas, no caso vertente, a autora não ajuizou nenhuma ação de nulidade do registro, mas sim cominatória, cumulada com indenização, baseada na contratação do nome comercial e de marcas de fábrica de que é legítima proprietária e detentora, contrafação essa praticada pela ré, que nem sequer registro possui em seu favor. - O objetivo desta ação é proibir a repetição da contrafação, ao mesmo tempo que colima o ressarcimento de perdas e danos pela concorrência desleal. - Funda-se no artigo 189 do Código da Propriedade Industrial e não pode ser confundida com a anulatória do registro de que cogita o artigo 147 do Código de Processo Civil. - Aqui se visa coibir a prática de um ato ilícito, como diz GAMA CERQUEIRA ("Tratado da Propriedade Industrial", vol. II, nº 262, pág. 360), a que é alheia a União, por visar apenas a interesses privados. - Eis porque, conclui o autorizado jurista, que o fôro desta ação é o do domicílio do réu, segundo a letra do artigo 134 do Código de Processo Civil, sendo competente para o seu processo e julgamento o Juízo comum (op. cit., nº 264, pág. 362). - Assim também tem entendid o a nossa jurisprudência, cumprindo citar, entre outros, os julgados que se encontram estampados no "Rev. dos Tribs.", 216-163; 232-136. - Nem poderia deixar de ser assim, pois a certidão de fls. demonstra, inequivocamente, que a ré nem sequer é titular de qualquer registro no D.N.P.I., onde apenas "depositou" pedido dessa natureza... Julgado em 23-03-1956 VENCIDO O DESEMBARGADOR LUIZ MORATO Revista dos Tribunais. Setembro, 1956 - pág. 228. vol. 251 EMENTÁRIO FORENSE. Março, 1957. Ano IX. Nº 100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147 do Código de Processo Civil. - É do fôro comum a competência para o conhecimento e julgamento de ação cominatória, cumulada com indenização, baseada na contrafação de nome comercial e de marca de fábrica. Visa-se aí a coibir a prática de um ato a que é alheia a União.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2026-07-28T02:14:49.502Z</dcterms:created>
  <dcterms:modified xsi:type="dcterms:W3CDTF">2026-07-28T02:14:49.502Z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