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28/11/1949</w:t>
      </w:r>
    </w:p>
    <w:p/>
    <w:p>
      <w:r>
        <w:t xml:space="preserve">ALIENAÇÃO DE BENS PELA MULHER — NULIDADE QUE SÓ PODERÁ SER ALEGADA PELO MARIDO OU SEUS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Admitindo-se que o marido houvesse sido judicialmente declarado interdito a mulher, que dele não estava separada por decreto judicial, era de direito sua curadora e cabeça do casal (arts. 251, III, 454, parág. 2º, do Código Civil). Administrando o casal, podia a mulher alienar imóvel, mediante autorização especial do juiz (art. 251, cit., parág. único, IV). - A nulidade pela falta da necessária outorga judicial somente podia ser alegada pelo marido ou seus herdeiros, em 2 anos, contados do dia em que se dissolver a sociedade conjugal (Código Civil, art. 178, parág. 7º, VII e 252). - Obediente a esses preceitos, o acórdão não estava sujeito a recurso extraordinário, de que não conheço. Julgado em 29-11-1949 Revista de Jurisprudência Brasileira. Janeiro-Fevereiro, 1952 - pág. 28. vol. 94. fasc. 280-281. EMENTÁRIO FORENSE. Maio, 1952. Ano IV. Nº 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que, por decreto judicial, não esteja separada do marido, judicialmente declarado interdito, é, de direito, sua curadora e cabeça do casal. - Se, nesta qualidade, a mulher aliena imóvel sem a necessária outorga judicial a nulidade somente poderá ser alegada pelo marido ou seus herdeiros, em 2 anos, contados do dia em que se houver dissolvido a sociedade conjugal.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2026-07-28T00:23:36.877Z</dcterms:created>
  <dcterms:modified xsi:type="dcterms:W3CDTF">2026-07-28T00:23:36.877Z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