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28/11/1949</w:t>
      </w:r>
    </w:p>
    <w:p/>
    <w:p>
      <w:r>
        <w:t xml:space="preserve">ALIENAÇÃO DE BENS PELA MULHER — NULIDADE QUE SÓ PODERÁ SER ALEGADA PELO MARIDO OU SEUS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Admitindo-se que o marido houvesse sido judicialmente declarado interdito a mulher, que dele não estava separada por decreto judicial, era de direito sua curadora e cabeça do casal (arts. 251, III, 454, parág. 2º, do Código Civil). Administrando o casal, podia a mulher alienar imóvel, mediante autorização especial do juiz (art. 251, cit., parág. único, IV). - A nulidade pela falta da necessária outorga judicial somente podia ser alegada pelo marido ou seus herdeiros, em 2 anos, contados do dia em que se dissolver a sociedade conjugal (Código Civil, art. 178, parág. 7º, VII e 252). - Obediente a esses preceitos, o acórdão não estava sujeito a recurso extraordinário, de que não conheço. Julgado em 29-11-1949 Revista de Jurisprudência Brasileira. Janeiro-Fevereiro, 1952 - pág. 28. vol. 94. fasc. 280-281. EMENTÁRIO FORENSE. Maio, 1952. Ano IV. Nº 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que, por decreto judicial, não esteja separada do marido, judicialmente declarado interdito, é, de direito, sua curadora e cabeça do casal. - Se, nesta qualidade, a mulher aliena imóvel sem a necessária outorga judicial a nulidade somente poderá ser alegada pelo marido ou seus herdeiros, em 2 anos, contados do dia em que se houver dissolvido a sociedade conjugal.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2026-10-26T04:37:38.756Z</dcterms:created>
  <dcterms:modified xsi:type="dcterms:W3CDTF">2026-10-26T04:37:38.756Z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