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27/11/1961</w:t>
      </w:r>
    </w:p>
    <w:p/>
    <w:p>
      <w:r>
        <w:t xml:space="preserve">PARTE LEGÍTIMA PARA RECORRER DA RESPECTIVA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Rejeitam a preliminar de não conhecimento da apelação, sob o fundamento de que o órgão do Ministério Público, que não foi o promovente do processo, não pode recorrer da sentença. A norma do artigo 610 do Código de Processo Civil, de que poderá recorrer da sentença o órgão do Ministério Público, quando por este promovido o processo, não conduz a conclusão de que, em outro caso, não possa recorrer. Poderá fazê-lo, quando atuar como defensor do interditando. Pelo artigo 449 do Código Civil, nos casos em que a interdição, for promovida por outrem que não o órgão do Ministério Público, este será o defensor do interditando. PONTES DE MIRANDA ensina que, sem ter promovido o processo de interdição, o órgão do Ministério Público pode recorrer, quando exerce a função de defensor. - Então, e como defensor que recorre - "Comentários ao Código de Processo Civil", tomo VIII, 2ª ed., pág. 32. Julgado em 28-11-1961 Revista Jurídica. Julho-Agosto, 1962 - pág. 181. Nº 58. Ano 10 EMENTÁRIO FORENSE. Agosto, 1963. Ano XV. Nº 177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é parte legítima para recorrer da sentença de interdição, mesmo que não tenha sido o seu promotor.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2026-07-27T23:53:55.226Z</dcterms:created>
  <dcterms:modified xsi:type="dcterms:W3CDTF">2026-07-27T23:53:55.226Z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