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10/03/1949</w:t>
      </w:r>
    </w:p>
    <w:p/>
    <w:p>
      <w:r>
        <w:t xml:space="preserve">DIREITO DE NATUREZA PERSONALÍSSIMA — EXTINÇÃO DA INSTÂNCIA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julgamento não podia concluir como o fez, pois a pessoa do paciente, a sua capacidade civil não podiam mais ser objeto de nenhum julgamento, visto que, como bem se exprime o insigne PLANIOL, a personalidade perde-se com a vida; os mortos não são pessoas; não são mais nada ("D. Civil", 1, nº 371). Sem embargo das fantasias de EDMOND PICARD que pretendia atribuir alguns direitos aos mortos ("Le Droit Pur", parág. 38 - Para o processo penal consulte-se MAZZINI, "Trattado di Diritto Processuale Penale, seconde il Nuovo Codice", vol. 2, pág. 287) - não podem eles ser agentes ativos ou passivos de relações jurídicas de natureza personalíssima, porque os atos inerentes à sua pessoa, dela se desprendem e como que se aniquilam com o bem maior, que é a vida; e por isto, o art. 928 do Código Civil diz, quanto aos próprios direitos obrigacionais, que a obrigação, "não sendo personalíssima", opera entre as partes e seus herdeiros. CUNHA GONÇALVES ensina, igualmente, que a morte extingue os direitos pessoais ("Trat. de Dir. Civil", 1, 286). E acrescenta o grande jurista português que nenhuma sentença pode ser proferida contra o defunto ou a seu favor (pág. 184). O morto, dizia THIESSE, citado por LAURENT, não pode estar em juízo ("Príncipes", 1, pág. 508). - Daí é que, constando o óbito, suspende-se a instância, nos termos do art. 197, inciso III, do Código de Processo, pelo tempo necessário à habilitação dos herdeiros. Mas, compreende-se: para habilitação e m direito que passe aos herdeiros. O direito personalíssimo não passa a ninguém: extingue-se com a extinção da personalidade do seu titular. Quando, pois, se cogitar de direito de natureza personalíssima, o que sucede é a extinção da instância. Julgado em 11-03-1949 Revista dos Tribunais. Junho, 1949 - pg. 693. vol. 179. ano 38. fasc. 589 EMENTÁRIO FORENSE. Ano II. Nº 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constando o óbito, suspende-se a instância, nos termos do art. 197, inciso III, do Código de Processo, pelo tempo necessário à habilitação dos herdeiros. Mas, compreende-se: para habilitação em direito que passe aos herdeiros. O direito personalíssimo não passa a ninguém: extingue-se com a extinção da personalidade do seu titular. Quando, pois, se cogitar de direito de natureza personalíssima, o que sucede é a extinção da instância.(Trecho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2026-07-28T00:27:34.773Z</dcterms:created>
  <dcterms:modified xsi:type="dcterms:W3CDTF">2026-07-28T00:27:34.773Z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