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03/09/1949</w:t>
      </w:r>
    </w:p>
    <w:p/>
    <w:p>
      <w:r>
        <w:t xml:space="preserve">IRMÃ — PREFERÊNCIA LEGAL - INEXISTÊNCIA, MORMENTE TENDO INTERESSES CONTRÁRIOS AO DO INTERDITO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é irmã da interdita; não tem preferência à nomeação. O juiz explicou que a não nomeou, nem a outro irmão, porque eles tem interesses contrários ao dar interdita... Julgado em 04-09-1949 Revista dos Tribunais. Janeiro, 1950 - pg. 305. vol. 183. ano 39. fasc. 596 EMENTÁRIO FORENSE. Junho, 1950. Ano II. Nº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454, parág. 3º, do Código Civil. - A nomeação de curador ao interdito é regulada pelo art. 454, que dá preferência ao cônjuge não separado judicialmente e, na falta, aos ascendentes e descendentes. Se não houver qualquer desses parentes compete ao juiz a escolha do curador.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2026-07-28T00:21:08.193Z</dcterms:created>
  <dcterms:modified xsi:type="dcterms:W3CDTF">2026-07-28T00:21:08.193Z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