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03/09/1949</w:t>
      </w:r>
    </w:p>
    <w:p/>
    <w:p>
      <w:r>
        <w:t xml:space="preserve">IRMÃ — PREFERÊNCIA LEGAL - INEXISTÊNCIA, MORMENTE TENDO INTERESSES CONTRÁRIOS AO DO INTERDITO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agravante é irmã da interdita; não tem preferência à nomeação. O juiz explicou que a não nomeou, nem a outro irmão, porque eles tem interesses contrários ao dar interdita... Julgado em 04-09-1949 Revista dos Tribunais. Janeiro, 1950 - pg. 305. vol. 183. ano 39. fasc. 596 EMENTÁRIO FORENSE. Junho, 1950. Ano II. Nº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454, parág. 3º, do Código Civil. - A nomeação de curador ao interdito é regulada pelo art. 454, que dá preferência ao cônjuge não separado judicialmente e, na falta, aos ascendentes e descendentes. Se não houver qualquer desses parentes compete ao juiz a escolha do curador.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2026-10-26T02:40:54.551Z</dcterms:created>
  <dcterms:modified xsi:type="dcterms:W3CDTF">2026-10-26T02:40:54.551Z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