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09/11/1960</w:t>
      </w:r>
    </w:p>
    <w:p/>
    <w:p>
      <w:r>
        <w:t xml:space="preserve">OBSERVÂNCIA DA GRADAÇÃO ESTABELECIDA EM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gradação estabelecida no artigo 454 do Código Civil foi inobservada no caso, com a nomeação de pessoa estranha a família do interditando. O motivo invocado pelo juiz, de animosidade entre a ora agravante e a esposa do interditando, para inclinar-se como efetivamente o fez pela nomeação de pessoa estranha, não justifica, ante as circunstâncias particulares do caso, a sua decisão. - Em princípio, segundo o artigo 454 do Código Civil, cabe ao cônjuge não separado judicialmente a curatela do outro. Mas, as razões expostas pelos dois curadores de família que funcionaram no feito em primeira instância são assas relevantes para afastar do "munus" a esposa do interditando, a qual, de resto, não interpôs recurso da decisão. - De outra parte, como bem observa o Dr. Procurador do Estado "a desavença acaso existente entre a ora agravante e a madrasta não parece suficiente para justificar a exclusão daquela, ainda mais que essa divergência resultou mais do próprio zelo, do empenho que essa filho pôs defender os interesses paternos, eliminando a madrasta de reconhecida inidoneidade moral". - E como a ora agravante filha mais velha do interditando, é capaz e idônea para o cargo cabe a ela exercê-lo, e não ao nomeado por ser este, como ficou acentuado, pessoa estranha à família, e a sua nomeação somente poderia ter lugar se motivos graves o aconselhassem, o que não ocorre no caso. Julgado em 10-11-1960 Revista Jurídica. Janeiro-Fevereiro, 1961 - pág. 108. Nº 49 EMENTÁRIO FORENSE. Novembro, 1961. Ano XIII. Nº 156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454 do Código Civil. - A gradação do artigo 454 do Código Civil somente pode ser afastada se motivos relevantes o aconselharem.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2026-07-28T00:42:48.324Z</dcterms:created>
  <dcterms:modified xsi:type="dcterms:W3CDTF">2026-07-28T00:42:48.324Z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