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OU TRIPLICATA SEM ACEITES</w:t>
      </w:r>
    </w:p>
    <w:p/>
    <w:p>
      <w:r>
        <w:rPr>
          <w:b/>
          <w:bCs/>
        </w:rPr>
        <w:t xml:space="preserve">Julgado em: </w:t>
      </w:r>
      <w:r>
        <w:t xml:space="preserve">08/10/1951</w:t>
      </w:r>
    </w:p>
    <w:p/>
    <w:p>
      <w:r>
        <w:t xml:space="preserve">CRITÉRIO A SER OBSERVADO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Cinge-se o recurso a impugnar a nomeação do curador do interditado. Sobreleva, entre as razões expostas pelo Dr. Juiz de Direito, a circunstância dos agravantes deverem vultosas quantias ao interditado. Ainda que se atribua ao interditado uma intenção de liberalidade, permanece a dúvida, nos termos do art. 1.171 do Código Civil. Acresce, igualmente, que os agravantes não residem no lugar onde o interditado elegeu domicílio, centro de suas atividades econômicas. - E não é de somenos a apontada desavença entre o interditado e o seu filho ora agravante, dissídio anterior ao processo de interdição: não se deve submeter os interditos à curatela de pessoas que lhe não mereciam confiança, ao tempo em que ainda gozavam de pleno discernimento. Julgado em 09-10-1951 Revista dos Tribunais. Março, 1952 - pág. 279. vol. 197 EMENTÁRIO FORENSE. Setembro, 1952. Ano IV. Nº 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deve submeter os interditos à curatela de pessoas que lhe não mereciam a confiança, ao tempo em que ainda gozavam de pleno discernimento.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2026-10-26T02:47:57.278Z</dcterms:created>
  <dcterms:modified xsi:type="dcterms:W3CDTF">2026-10-26T02:47:57.278Z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