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05/12/1949</w:t>
      </w:r>
    </w:p>
    <w:p/>
    <w:p>
      <w:r>
        <w:t xml:space="preserve">COMPETÊNCIA DO JUIZ — DISPENSA DA HIPOTECA LEGAL - RESPONSABILIDADE SUBSIDIÁRIA DO JUIZ QUE A DETERMINOU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dispensa da hipoteca legal foi feita por ter o juiz considerado a idoneidade do curador e a natureza dos bens da interdita; tornou-se o juiz responsável subsidiariamente pelos prejuízos que possa a interdita sofrer (Código Civil, art. 420). Julgado em 06-12-1949 Revista dos Tribunais. Abril, 1950 - pg. 775. vol. 184. ano 39. fasc. 599 EMENTÁRIO FORENSE. Agosto, 1950. Ano II. Nº 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454, § 3º, e 420, do Código Civil. - ... não tendo a interdita ascendentes ou descendentes, a escolha do curador compete ao juiz (Código Civil, art. 454, § 3º).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2026-07-28T00:29:58.671Z</dcterms:created>
  <dcterms:modified xsi:type="dcterms:W3CDTF">2026-07-28T00:29:58.671Z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