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 EXTRAJUDICIAL</w:t>
      </w:r>
    </w:p>
    <w:p>
      <w:r>
        <w:rPr>
          <w:i/>
          <w:iCs/>
          <w:color w:val="666666"/>
        </w:rPr>
        <w:t xml:space="preserve">DUPLICATA OU TRIPLICATA SEM ACEITES</w:t>
      </w:r>
    </w:p>
    <w:p/>
    <w:p>
      <w:r>
        <w:rPr>
          <w:b/>
          <w:bCs/>
        </w:rPr>
        <w:t xml:space="preserve">Julgado em: </w:t>
      </w:r>
      <w:r>
        <w:t xml:space="preserve">05/12/1949</w:t>
      </w:r>
    </w:p>
    <w:p/>
    <w:p>
      <w:r>
        <w:t xml:space="preserve">COMPETÊNCIA DO JUIZ — DISPENSA DA HIPOTECA LEGAL - RESPONSABILIDADE SUBSIDIÁRIA DO JUIZ QUE A DETERMINOU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dispensa da hipoteca legal foi feita por ter o juiz considerado a idoneidade do curador e a natureza dos bens da interdita; tornou-se o juiz responsável subsidiariamente pelos prejuízos que possa a interdita sofrer (Código Civil, art. 420). Julgado em 06-12-1949 Revista dos Tribunais. Abril, 1950 - pg. 775. vol. 184. ano 39. fasc. 599 EMENTÁRIO FORENSE. Agosto, 1950. Ano II. Nº 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Inteligência dos arts. 454, § 3º, e 420, do Código Civil. - ... não tendo a interdita ascendentes ou descendentes, a escolha do curador compete ao juiz (Código Civil, art. 454, § 3º).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2026-10-26T06:09:13.238Z</dcterms:created>
  <dcterms:modified xsi:type="dcterms:W3CDTF">2026-10-26T06:09:13.238Z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