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01/07/1976</w:t>
      </w:r>
    </w:p>
    <w:p/>
    <w:p>
      <w:r>
        <w:t xml:space="preserve">TÍTULO NÃO ACEITO — DEVEDOR REVEL EM EXECUÇÃO - PROCEDÊNCIA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provido o apelo. - Conjugando-se numa interpretação sistemática os arts. 583 e 586 do CPC, tem-se que para o credor de uma obrigação ganhar acesso às vias de execução forçada e aparelhadas, deve possuir título judicial ou extrajudicial, devidamente formalizado, e que represente um crédito líquido, certo e exigível. - É a propósito, o que acentua ALCIDES DE MENDONÇA LIMA, in verbis: "toda execução se funda em título executivo para ser movida; mas desde que o título apresente as condições formais e substanciais que a lei imponha. Não é, portanto, qualquer documento, quer formalmente, quer substancialmente que pode provar a execução. Será somente aquele que reunir as duas condições" (in "Comentários ao Código de Processo Civil", vol. VI, tomo II/403, ed. 1974). - Pois bem, a duplicata não aceita, protestada e acompanhada de documento comprobatório da remessa ou da entrega da mercadoria (art. 15 da Lei pelo Decreto-lei nº 436, de 27-01-1969) é um, título provido de executoriedade, mas que não se apresente formalmente perfeito. - A primeira vista, portanto, parece que, por não estar formalizada, a duplicata, naquelas condições, não enseja execução contra devedor solvente. - Acontece, porém, que o art. 585, nº VII, do CPC, considera também como títulos extrajudiciais todos os demais que, por expressa disposição de lei, possuam força executiva. - Tal é o caso, especificamente, da duplicata sem aceite, protestada e acompanhada de documento comprobatório da remessa ou da entrega de mercadoria, a qual "ex vi" do art. 15 da Lei das Duplicatas (Lei nº 5.474, de 18-07-1969) continua com força executiva, pois, neste passo, aquela lei não foi revogada pelo vigente Código de Proce sso Civil. - Donde se conclui que a execução foi validamente proposta, ao ser instruída com as duplicatas em causa. - Certo que essa execução não prosseguiu, por falta de penhora e não por expressa desistência da credora. - Isto, porém, não impedia, que, ato contínuo, fosse aforado o pedido de quebra, porquanto a inexistência de penhora, por si só, impossibilitava a execução. - Por conseguinte, se o devedor comerciante, ao ser executado, não paga a dívida, não deposita a importância respectiva ou são nomeia bens à penhora, configurado fica seu estado de insolvência e com isso legitima-se o credor, para, desde logo, pedir-lhe a declaração de falência, nos termos do art. 2º, nº I, da Lei de Falências. - Doutro lado, é de ponderar-se que o pedido de quebra não está fundamentado nas duplicatas sem aceite, mas sim na insolvência da recorrida, caracterizada pela sua insuficiência patrimonial para cobrir o passivo, consoante ficou revelado nos autos da execução. - Daí por que, provido o apelo e prejudicado o recurso adesivo, decreta-se, nesta data, ..., a falência da firma ..., com base no art. 2º, nº I, da Lei de Falências, assinado o prazo de 20 dias para a habilitação dos credores, nomeada a apelante para servir como síndico, intimando-se o representante legal da falida para os fins do art. 34, da sobredita lei e determinando ao MM. Juiz as providências complementares, exigidas por lei. Julgado em 02-07-1976 Revista dos Tribunais. Agosto, 1978 - Vol. 502 - Pág. 61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pedido de falência com base no artigo 2º, nº I, da lei falimentar, se, tratando-se de duplicata sem aceite, o devedor foi revel em execução, não tendo nesta sido feita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2026-10-26T02:44:54.043Z</dcterms:created>
  <dcterms:modified xsi:type="dcterms:W3CDTF">2026-10-26T02:44:54.043Z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