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18/12/1950</w:t>
      </w:r>
    </w:p>
    <w:p/>
    <w:p>
      <w:r>
        <w:t xml:space="preserve">FACULDADE DE QUALQUER CREDOR QUE HAJA INGRESSADO EM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habilitação do credor, apresentando seu título creditório a juízo, é bastante para legitimar o interesse em cooperar na defesa da massa falida. Não há distinção legal entre o que declarou o crédito no prazo especial ou o fez, posteriormente, para o efeito de tomar posição em favor do patrimônio dos credores. A vantagem decorrente é para a massa falida e não para o credor, singularmente. Habilitado pelo art. 82 ou pelo art. 98, não se modifica a posição do credor, em defesa da massa. Há a salientar que a lei cogita, apenas, em tal passo, de credor que haja declarado o crédito, em nada influindo o julgamento posterior, dando-o por verificado. Julgado em 19-12-1950 Revista Forense. Setembro-Outubro, 1952 - pág. 147. vol. 143 EMENTÁRIO FORENSE. Janeiro, 1953. Ano V. Nº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opor embargos de terceiro, em nome da massa falida, tem qualidade qualquer credor que haja ingressado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2026-10-26T02:52:08.911Z</dcterms:created>
  <dcterms:modified xsi:type="dcterms:W3CDTF">2026-10-26T02:52:08.911Z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