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06/05/1958</w:t>
      </w:r>
    </w:p>
    <w:p/>
    <w:p>
      <w:r>
        <w:t xml:space="preserve">OFERECIMENTO PELO PRETENDENTE DA COUSA — SUSPENSÃO DO LEILÃO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fundando-se os embargos no alegado domínio do embargante, o remédio adotado, embargos de, terceiro, é equiparável, no caso, não à ação de manutenção, mas à ação de reivindicação, em perfeita similitude com o pedido de restituição, definido no mesmo Título V da Lei de Falências. E tendo os dois meios processuais a mesma finalidade, que é a restituição definitiva da coisa, o fato dos embargos obedecerem ao processo da lei comum não pode levar à conclusão de que, sendo ele preferido, a coisa fique disponível para ser levada a leilão. - Se quem alega o domínio tem direito de suspender a disponibilidade da coisa, quem alega posse e domínio deve ter o mesmo direito. - Parece, aliás, que a possibilidade de simples restituição da posse ao embargante, deveria bastar para que o mesmo direito lhe fosse assegurado. - Assim, a despeito do disposto no artigo 79, parágrafo primeiro, o artigo 78 da Lei de Falências é obrigatório também no caso de embargos de terceiro. - Não seria lógico admitir que a simples adoção do processo comum retirasse aos embargos a sua finalidade e que, preferindo esse remédio (artigo 79), o requerente visse frustado o seu direito. - O recebimento liminar dos embargos obrigava, portanto, o adiamento do leilão, até a decisão do incidente em primeiro instância (Código do Processo, artigo 842, nº IV). Julgado em 07-05-1958 Minas Forense. Julho-Agosto 1958 - pág. 46. vol. 24 EMENTÁRIO FORENSE. Março, 1959. Ano XI. Nº 124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terceiros preferidos pelo pretendente da cousa no processo de falência suspendem o leilão, até que sejam decididos.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2026-07-28T00:13:10.131Z</dcterms:created>
  <dcterms:modified xsi:type="dcterms:W3CDTF">2026-07-28T00:13:10.131Z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